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Normal"/>
            <w:spacing w:lineRule="auto" w:line="240" w:before="0" w:after="0"/>
            <w:ind w:hanging="0"/>
            <w:contextualSpacing/>
            <w:jc w:val="center"/>
            <w:rPr>
              <w:rFonts w:ascii="Arial" w:hAnsi="Arial" w:cs="Arial"/>
              <w:sz w:val="24"/>
              <w:szCs w:val="24"/>
            </w:rPr>
          </w:pPr>
          <w:r>
            <w:rPr>
              <w:rFonts w:cs="Arial" w:ascii="Arial" w:hAnsi="Arial"/>
              <w:b/>
              <w:caps/>
              <w:sz w:val="24"/>
              <w:szCs w:val="24"/>
            </w:rPr>
            <w:t>Prienų rajono savivaldybės administracija</w:t>
          </w:r>
        </w:p>
        <w:p>
          <w:pPr>
            <w:pStyle w:val="Normal"/>
            <w:spacing w:lineRule="auto" w:line="240"/>
            <w:ind w:hanging="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ind w:hanging="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ind w:hanging="0"/>
            <w:jc w:val="center"/>
            <w:rPr>
              <w:rFonts w:ascii="Arial" w:hAnsi="Arial" w:cs="Arial"/>
              <w:sz w:val="24"/>
              <w:szCs w:val="24"/>
            </w:rPr>
          </w:pPr>
          <w:r>
            <w:rPr>
              <w:rFonts w:cs="Arial" w:ascii="Arial" w:hAnsi="Arial"/>
              <w:sz w:val="24"/>
              <w:szCs w:val="24"/>
            </w:rPr>
            <w:t xml:space="preserve">el. p. </w:t>
          </w:r>
          <w:hyperlink r:id="rId2">
            <w:r>
              <w:rPr>
                <w:rStyle w:val="Hyperlink"/>
                <w:rFonts w:cs="Arial" w:ascii="Arial" w:hAnsi="Arial"/>
                <w:sz w:val="24"/>
                <w:szCs w:val="24"/>
              </w:rPr>
              <w:t>administracija@prienai.lt</w:t>
            </w:r>
          </w:hyperlink>
          <w:r>
            <w:rPr>
              <w:rFonts w:cs="Arial" w:ascii="Arial" w:hAnsi="Arial"/>
              <w:sz w:val="24"/>
              <w:szCs w:val="24"/>
            </w:rPr>
            <w:t xml:space="preserve"> </w:t>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t xml:space="preserve">  </w:t>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left="567"/>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hanging="0"/>
            <w:contextualSpacing/>
            <w:jc w:val="center"/>
            <w:rPr>
              <w:rFonts w:ascii="Arial" w:hAnsi="Arial" w:cs="Arial"/>
              <w:b/>
              <w:bCs/>
              <w:sz w:val="24"/>
              <w:szCs w:val="24"/>
            </w:rPr>
          </w:pPr>
          <w:r>
            <w:rPr>
              <w:rFonts w:cs="Arial" w:ascii="Arial" w:hAnsi="Arial"/>
              <w:b/>
              <w:bCs/>
              <w:sz w:val="24"/>
              <w:szCs w:val="24"/>
            </w:rPr>
            <w:t>MAŽOS VERTĖS VIEŠOJO PIRKIMO „PRIENŲ RAJONO SAVIVALDYBĖS GYVENAMŲJŲ VIETOVIŲ PANAIKINIMO, NUSTATYMO IR PAVADINIMŲ SUTEIKIMO, TERITORIJŲ RIBŲ NUSTATYMO PLANO PARENGIMAS“ SKELBIAMOS APKLAUSOS</w:t>
          </w:r>
        </w:p>
        <w:p>
          <w:pPr>
            <w:pStyle w:val="Normal"/>
            <w:spacing w:lineRule="auto" w:line="240" w:before="0" w:after="0"/>
            <w:ind w:hanging="0"/>
            <w:contextualSpacing/>
            <w:jc w:val="center"/>
            <w:rPr>
              <w:rFonts w:ascii="Arial" w:hAnsi="Arial" w:cs="Arial"/>
              <w:b/>
              <w:bCs/>
              <w:sz w:val="24"/>
              <w:szCs w:val="24"/>
            </w:rPr>
          </w:pPr>
          <w:r>
            <w:rPr>
              <w:rFonts w:cs="Arial" w:ascii="Arial" w:hAnsi="Arial"/>
              <w:b/>
              <w:bCs/>
              <w:sz w:val="24"/>
              <w:szCs w:val="24"/>
            </w:rPr>
            <w:t>SPECIALIOSIOS SĄLYGOS</w:t>
          </w:r>
        </w:p>
        <w:p>
          <w:pPr>
            <w:pStyle w:val="Normal"/>
            <w:spacing w:lineRule="auto" w:line="240" w:before="0" w:after="0"/>
            <w:ind w:hanging="0"/>
            <w:contextualSpacing/>
            <w:jc w:val="center"/>
            <w:rPr>
              <w:rFonts w:ascii="Arial" w:hAnsi="Arial" w:cs="Arial"/>
              <w:b/>
              <w:bCs/>
              <w:sz w:val="24"/>
              <w:szCs w:val="24"/>
            </w:rPr>
          </w:pPr>
          <w:r>
            <w:rPr>
              <w:rFonts w:cs="Arial" w:ascii="Arial" w:hAnsi="Arial"/>
              <w:b/>
              <w:bCs/>
              <w:sz w:val="24"/>
              <w:szCs w:val="24"/>
            </w:rPr>
            <w:t>Versija Nr. 1</w:t>
          </w:r>
          <w:r>
            <w:br w:type="page"/>
          </w:r>
        </w:p>
        <w:p>
          <w:pPr>
            <w:pStyle w:val="TOCHeading"/>
            <w:tabs>
              <w:tab w:val="clear" w:pos="397"/>
              <w:tab w:val="left" w:pos="6555" w:leader="none"/>
            </w:tabs>
            <w:spacing w:before="0" w:after="0"/>
            <w:ind w:hanging="0"/>
            <w:rPr>
              <w:rFonts w:ascii="Arial" w:hAnsi="Arial" w:cs="Arial"/>
              <w:b/>
              <w:sz w:val="28"/>
              <w:szCs w:val="28"/>
            </w:rPr>
          </w:pPr>
          <w:r>
            <w:rPr>
              <w:rFonts w:cs="Arial" w:ascii="Arial" w:hAnsi="Arial"/>
              <w:b/>
              <w:sz w:val="28"/>
              <w:szCs w:val="28"/>
            </w:rPr>
            <w:t>TURINYS</w:t>
            <w:tab/>
          </w:r>
        </w:p>
        <w:p>
          <w:pPr>
            <w:pStyle w:val="TOC1"/>
            <w:tabs>
              <w:tab w:val="clear" w:pos="426"/>
              <w:tab w:val="clear" w:pos="1100"/>
              <w:tab w:val="clear" w:pos="9962"/>
              <w:tab w:val="left" w:pos="270" w:leader="none"/>
              <w:tab w:val="right" w:pos="10710" w:leader="dot"/>
            </w:tabs>
            <w:spacing w:before="120" w:after="0"/>
            <w:ind w:hanging="360" w:left="360" w:right="0"/>
            <w:rPr>
              <w:rFonts w:ascii="Arial" w:hAnsi="Arial" w:cs="Arial"/>
              <w:sz w:val="24"/>
              <w:szCs w:val="24"/>
              <w:lang w:eastAsia="en-US"/>
            </w:rPr>
          </w:pPr>
          <w:r>
            <w:fldChar w:fldCharType="begin"/>
          </w:r>
          <w:r>
            <w:rPr>
              <w:webHidden/>
              <w:rStyle w:val="Rodyklssaitas"/>
              <w:sz w:val="24"/>
              <w:szCs w:val="24"/>
              <w:vanish w:val="false"/>
              <w:rFonts w:cs="Arial" w:ascii="Arial" w:hAnsi="Arial"/>
            </w:rPr>
            <w:instrText xml:space="preserve"> TOC \z \o "1-3" \u \h</w:instrText>
          </w:r>
          <w:r>
            <w:rPr>
              <w:webHidden/>
              <w:rStyle w:val="Rodyklssaitas"/>
              <w:sz w:val="24"/>
              <w:szCs w:val="24"/>
              <w:vanish w:val="false"/>
              <w:rFonts w:cs="Arial" w:ascii="Arial" w:hAnsi="Arial"/>
            </w:rPr>
            <w:fldChar w:fldCharType="separate"/>
          </w:r>
          <w:hyperlink w:anchor="_Toc137194947">
            <w:r>
              <w:rPr>
                <w:webHidden/>
                <w:rStyle w:val="Rodyklssaitas"/>
                <w:rFonts w:cs="Arial" w:ascii="Arial" w:hAnsi="Arial"/>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sz w:val="24"/>
                <w:szCs w:val="24"/>
              </w:rPr>
              <w:t>Bendra informacija</w:t>
            </w:r>
            <w:r>
              <w:rPr>
                <w:rStyle w:val="Rodyklssaitas"/>
                <w:rFonts w:cs="Arial" w:ascii="Arial" w:hAnsi="Arial"/>
                <w:vanish/>
                <w:sz w:val="24"/>
                <w:szCs w:val="24"/>
              </w:rPr>
              <w:tab/>
            </w:r>
            <w:r>
              <w:rPr>
                <w:webHidden/>
              </w:rPr>
              <w:fldChar w:fldCharType="begin"/>
            </w:r>
            <w:r>
              <w:rPr>
                <w:webHidden/>
              </w:rPr>
              <w:instrText xml:space="preserve">PAGEREF _Toc137194947 \h</w:instrText>
            </w:r>
            <w:r>
              <w:rPr>
                <w:webHidden/>
              </w:rPr>
              <w:fldChar w:fldCharType="separate"/>
            </w:r>
            <w:r>
              <w:rPr>
                <w:rStyle w:val="Rodyklssaitas"/>
                <w:rFonts w:cs="Arial" w:ascii="Arial" w:hAnsi="Arial"/>
                <w:sz w:val="24"/>
                <w:szCs w:val="24"/>
              </w:rPr>
              <w:t>2</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48">
            <w:r>
              <w:rPr>
                <w:webHidden/>
                <w:rStyle w:val="Rodyklssaitas"/>
                <w:rFonts w:eastAsia="Calibri" w:cs="Arial" w:ascii="Arial" w:hAnsi="Arial"/>
                <w:vanish w:val="false"/>
                <w:sz w:val="24"/>
                <w:szCs w:val="24"/>
              </w:rPr>
              <w:t>2.</w:t>
            </w:r>
            <w:r>
              <w:rPr>
                <w:rStyle w:val="Rodyklssaitas"/>
                <w:rFonts w:cs="Arial" w:ascii="Arial" w:hAnsi="Arial"/>
                <w:sz w:val="24"/>
                <w:szCs w:val="24"/>
                <w:lang w:eastAsia="en-US"/>
              </w:rPr>
              <w:t xml:space="preserve"> </w:t>
            </w:r>
            <w:r>
              <w:rPr>
                <w:rStyle w:val="Rodyklssaitas"/>
                <w:rFonts w:cs="Arial" w:ascii="Arial" w:hAnsi="Arial"/>
                <w:sz w:val="24"/>
                <w:szCs w:val="24"/>
              </w:rPr>
              <w:t>Pirkimo objektas</w:t>
            </w:r>
            <w:r>
              <w:rPr>
                <w:rStyle w:val="Rodyklssaitas"/>
                <w:rFonts w:cs="Arial" w:ascii="Arial" w:hAnsi="Arial"/>
                <w:vanish/>
                <w:sz w:val="24"/>
                <w:szCs w:val="24"/>
              </w:rPr>
              <w:tab/>
            </w:r>
            <w:r>
              <w:rPr>
                <w:webHidden/>
              </w:rPr>
              <w:fldChar w:fldCharType="begin"/>
            </w:r>
            <w:r>
              <w:rPr>
                <w:webHidden/>
              </w:rPr>
              <w:instrText xml:space="preserve">PAGEREF _Toc137194948 \h</w:instrText>
            </w:r>
            <w:r>
              <w:rPr>
                <w:webHidden/>
              </w:rPr>
              <w:fldChar w:fldCharType="separate"/>
            </w:r>
            <w:r>
              <w:rPr>
                <w:rStyle w:val="Rodyklssaitas"/>
                <w:rFonts w:cs="Arial" w:ascii="Arial" w:hAnsi="Arial"/>
                <w:sz w:val="24"/>
                <w:szCs w:val="24"/>
              </w:rPr>
              <w:t>2</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49">
            <w:r>
              <w:rPr>
                <w:webHidden/>
                <w:rStyle w:val="Rodyklssaitas"/>
                <w:rFonts w:eastAsia="Calibri" w:cs="Arial" w:ascii="Arial" w:hAnsi="Arial"/>
                <w:vanish w:val="false"/>
                <w:sz w:val="24"/>
                <w:szCs w:val="24"/>
              </w:rPr>
              <w:t>3.</w:t>
            </w:r>
            <w:r>
              <w:rPr>
                <w:rStyle w:val="Rodyklssaitas"/>
                <w:rFonts w:cs="Arial" w:ascii="Arial" w:hAnsi="Arial"/>
                <w:sz w:val="24"/>
                <w:szCs w:val="24"/>
                <w:lang w:eastAsia="en-US"/>
              </w:rPr>
              <w:t xml:space="preserve"> </w:t>
            </w:r>
            <w:r>
              <w:rPr>
                <w:rStyle w:val="Rodyklssaitas"/>
                <w:rFonts w:cs="Arial" w:ascii="Arial" w:hAnsi="Arial"/>
                <w:sz w:val="24"/>
                <w:szCs w:val="24"/>
              </w:rPr>
              <w:t>Tiekėjų pašalinimo pagrindai, kvalifikacijos reikalavimai ir reikalaujami kokybės vadybos sistemos ir (arba) aplinkos apsaugos vadybos sistemos standartai</w:t>
            </w:r>
            <w:r>
              <w:rPr>
                <w:rStyle w:val="Rodyklssaitas"/>
                <w:rFonts w:cs="Arial" w:ascii="Arial" w:hAnsi="Arial"/>
                <w:vanish/>
                <w:sz w:val="24"/>
                <w:szCs w:val="24"/>
              </w:rPr>
              <w:tab/>
            </w:r>
            <w:r>
              <w:rPr>
                <w:webHidden/>
              </w:rPr>
              <w:fldChar w:fldCharType="begin"/>
            </w:r>
            <w:r>
              <w:rPr>
                <w:webHidden/>
              </w:rPr>
              <w:instrText xml:space="preserve">PAGEREF _Toc137194949 \h</w:instrText>
            </w:r>
            <w:r>
              <w:rPr>
                <w:webHidden/>
              </w:rPr>
              <w:fldChar w:fldCharType="separate"/>
            </w:r>
            <w:r>
              <w:rPr>
                <w:rStyle w:val="Rodyklssaitas"/>
                <w:rFonts w:cs="Arial" w:ascii="Arial" w:hAnsi="Arial"/>
                <w:sz w:val="24"/>
                <w:szCs w:val="24"/>
              </w:rPr>
              <w:t>3</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50">
            <w:r>
              <w:rPr>
                <w:webHidden/>
                <w:rStyle w:val="Rodyklssaitas"/>
                <w:rFonts w:eastAsia="Calibri" w:cs="Arial" w:ascii="Arial" w:hAnsi="Arial"/>
                <w:vanish w:val="false"/>
                <w:sz w:val="24"/>
                <w:szCs w:val="24"/>
              </w:rPr>
              <w:t>4.</w:t>
            </w:r>
            <w:r>
              <w:rPr>
                <w:rStyle w:val="Rodyklssaitas"/>
                <w:rFonts w:cs="Arial" w:ascii="Arial" w:hAnsi="Arial"/>
                <w:sz w:val="24"/>
                <w:szCs w:val="24"/>
                <w:lang w:eastAsia="en-US"/>
              </w:rPr>
              <w:t xml:space="preserve"> </w:t>
            </w:r>
            <w:r>
              <w:rPr>
                <w:rStyle w:val="Rodyklssaitas"/>
                <w:rFonts w:cs="Arial" w:ascii="Arial" w:hAnsi="Arial"/>
                <w:sz w:val="24"/>
                <w:szCs w:val="24"/>
              </w:rPr>
              <w:t>Reikalavimai, susiję su nacionaliniu saugumu</w:t>
            </w:r>
            <w:r>
              <w:rPr>
                <w:rStyle w:val="Rodyklssaitas"/>
                <w:rFonts w:cs="Arial" w:ascii="Arial" w:hAnsi="Arial"/>
                <w:vanish/>
                <w:sz w:val="24"/>
                <w:szCs w:val="24"/>
              </w:rPr>
              <w:tab/>
            </w:r>
            <w:r>
              <w:rPr>
                <w:webHidden/>
              </w:rPr>
              <w:fldChar w:fldCharType="begin"/>
            </w:r>
            <w:r>
              <w:rPr>
                <w:webHidden/>
              </w:rPr>
              <w:instrText xml:space="preserve">PAGEREF _Toc137194950 \h</w:instrText>
            </w:r>
            <w:r>
              <w:rPr>
                <w:webHidden/>
              </w:rPr>
              <w:fldChar w:fldCharType="separate"/>
            </w:r>
            <w:r>
              <w:rPr>
                <w:rStyle w:val="Rodyklssaitas"/>
                <w:rFonts w:cs="Arial" w:ascii="Arial" w:hAnsi="Arial"/>
                <w:sz w:val="24"/>
                <w:szCs w:val="24"/>
              </w:rPr>
              <w:t>4</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51">
            <w:r>
              <w:rPr>
                <w:webHidden/>
                <w:rStyle w:val="Rodyklssaitas"/>
                <w:rFonts w:eastAsia="Calibri" w:cs="Arial" w:ascii="Arial" w:hAnsi="Arial"/>
                <w:vanish w:val="false"/>
                <w:sz w:val="24"/>
                <w:szCs w:val="24"/>
              </w:rPr>
              <w:t>5.</w:t>
            </w:r>
            <w:r>
              <w:rPr>
                <w:rStyle w:val="Rodyklssaitas"/>
                <w:rFonts w:cs="Arial" w:ascii="Arial" w:hAnsi="Arial"/>
                <w:sz w:val="24"/>
                <w:szCs w:val="24"/>
                <w:lang w:eastAsia="en-US"/>
              </w:rPr>
              <w:t xml:space="preserve"> </w:t>
            </w:r>
            <w:r>
              <w:rPr>
                <w:rStyle w:val="Rodyklssaitas"/>
                <w:rFonts w:cs="Arial" w:ascii="Arial" w:hAnsi="Arial"/>
                <w:sz w:val="24"/>
                <w:szCs w:val="24"/>
              </w:rPr>
              <w:t>Specialieji reikalavimai pasiūlymų rengimui ir pateikimui</w:t>
            </w:r>
            <w:r>
              <w:rPr>
                <w:rStyle w:val="Rodyklssaitas"/>
                <w:rFonts w:cs="Arial" w:ascii="Arial" w:hAnsi="Arial"/>
                <w:vanish/>
                <w:sz w:val="24"/>
                <w:szCs w:val="24"/>
              </w:rPr>
              <w:tab/>
            </w:r>
            <w:r>
              <w:rPr>
                <w:webHidden/>
              </w:rPr>
              <w:fldChar w:fldCharType="begin"/>
            </w:r>
            <w:r>
              <w:rPr>
                <w:webHidden/>
              </w:rPr>
              <w:instrText xml:space="preserve">PAGEREF _Toc137194951 \h</w:instrText>
            </w:r>
            <w:r>
              <w:rPr>
                <w:webHidden/>
              </w:rPr>
              <w:fldChar w:fldCharType="separate"/>
            </w:r>
            <w:r>
              <w:rPr>
                <w:rStyle w:val="Rodyklssaitas"/>
                <w:rFonts w:cs="Arial" w:ascii="Arial" w:hAnsi="Arial"/>
                <w:sz w:val="24"/>
                <w:szCs w:val="24"/>
              </w:rPr>
              <w:t>5</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52">
            <w:r>
              <w:rPr>
                <w:webHidden/>
                <w:rStyle w:val="Rodyklssaitas"/>
                <w:rFonts w:cs="Arial" w:ascii="Arial" w:hAnsi="Arial"/>
                <w:vanish w:val="false"/>
                <w:sz w:val="24"/>
                <w:szCs w:val="24"/>
              </w:rPr>
              <w:t>6. Pasiūlymo galiojimo užtikrinimas</w:t>
            </w:r>
            <w:r>
              <w:rPr>
                <w:rStyle w:val="Rodyklssaitas"/>
                <w:rFonts w:cs="Arial" w:ascii="Arial" w:hAnsi="Arial"/>
                <w:vanish/>
                <w:sz w:val="24"/>
                <w:szCs w:val="24"/>
              </w:rPr>
              <w:tab/>
            </w:r>
            <w:r>
              <w:rPr>
                <w:webHidden/>
              </w:rPr>
              <w:fldChar w:fldCharType="begin"/>
            </w:r>
            <w:r>
              <w:rPr>
                <w:webHidden/>
              </w:rPr>
              <w:instrText xml:space="preserve">PAGEREF _Toc137194952 \h</w:instrText>
            </w:r>
            <w:r>
              <w:rPr>
                <w:webHidden/>
              </w:rPr>
              <w:fldChar w:fldCharType="separate"/>
            </w:r>
            <w:r>
              <w:rPr>
                <w:rStyle w:val="Rodyklssaitas"/>
                <w:rFonts w:cs="Arial" w:ascii="Arial" w:hAnsi="Arial"/>
                <w:sz w:val="24"/>
                <w:szCs w:val="24"/>
              </w:rPr>
              <w:t>6</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53">
            <w:r>
              <w:rPr>
                <w:webHidden/>
                <w:rStyle w:val="Rodyklssaitas"/>
                <w:rFonts w:cs="Arial" w:ascii="Arial" w:hAnsi="Arial"/>
                <w:vanish w:val="false"/>
                <w:sz w:val="24"/>
                <w:szCs w:val="24"/>
              </w:rPr>
              <w:t>7.</w:t>
            </w:r>
            <w:r>
              <w:rPr>
                <w:rStyle w:val="Rodyklssaitas"/>
                <w:rFonts w:cs="Arial" w:ascii="Arial" w:hAnsi="Arial"/>
                <w:sz w:val="24"/>
                <w:szCs w:val="24"/>
                <w:lang w:eastAsia="en-US"/>
              </w:rPr>
              <w:t xml:space="preserve"> </w:t>
            </w:r>
            <w:r>
              <w:rPr>
                <w:rStyle w:val="Rodyklssaitas"/>
                <w:rFonts w:cs="Arial" w:ascii="Arial" w:hAnsi="Arial"/>
                <w:sz w:val="24"/>
                <w:szCs w:val="24"/>
              </w:rPr>
              <w:t>Pasiūlymų vertinimas</w:t>
            </w:r>
            <w:r>
              <w:rPr>
                <w:rStyle w:val="Rodyklssaitas"/>
                <w:rFonts w:cs="Arial" w:ascii="Arial" w:hAnsi="Arial"/>
                <w:vanish/>
                <w:sz w:val="24"/>
                <w:szCs w:val="24"/>
              </w:rPr>
              <w:tab/>
            </w:r>
            <w:r>
              <w:rPr>
                <w:webHidden/>
              </w:rPr>
              <w:fldChar w:fldCharType="begin"/>
            </w:r>
            <w:r>
              <w:rPr>
                <w:webHidden/>
              </w:rPr>
              <w:instrText xml:space="preserve">PAGEREF _Toc137194953 \h</w:instrText>
            </w:r>
            <w:r>
              <w:rPr>
                <w:webHidden/>
              </w:rPr>
              <w:fldChar w:fldCharType="separate"/>
            </w:r>
            <w:r>
              <w:rPr>
                <w:rStyle w:val="Rodyklssaitas"/>
                <w:rFonts w:cs="Arial" w:ascii="Arial" w:hAnsi="Arial"/>
                <w:sz w:val="24"/>
                <w:szCs w:val="24"/>
              </w:rPr>
              <w:t>7</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54">
            <w:r>
              <w:rPr>
                <w:webHidden/>
                <w:rStyle w:val="Rodyklssaitas"/>
                <w:rFonts w:cs="Arial" w:ascii="Arial" w:hAnsi="Arial"/>
                <w:vanish w:val="false"/>
                <w:sz w:val="24"/>
                <w:szCs w:val="24"/>
              </w:rPr>
              <w:t>8. Sutarties sudarymas</w:t>
            </w:r>
            <w:r>
              <w:rPr>
                <w:rStyle w:val="Rodyklssaitas"/>
                <w:rFonts w:cs="Arial" w:ascii="Arial" w:hAnsi="Arial"/>
                <w:vanish/>
                <w:sz w:val="24"/>
                <w:szCs w:val="24"/>
              </w:rPr>
              <w:tab/>
            </w:r>
            <w:r>
              <w:rPr>
                <w:webHidden/>
              </w:rPr>
              <w:fldChar w:fldCharType="begin"/>
            </w:r>
            <w:r>
              <w:rPr>
                <w:webHidden/>
              </w:rPr>
              <w:instrText xml:space="preserve">PAGEREF _Toc137194954 \h</w:instrText>
            </w:r>
            <w:r>
              <w:rPr>
                <w:webHidden/>
              </w:rPr>
              <w:fldChar w:fldCharType="separate"/>
            </w:r>
            <w:r>
              <w:rPr>
                <w:rStyle w:val="Rodyklssaitas"/>
                <w:rFonts w:cs="Arial" w:ascii="Arial" w:hAnsi="Arial"/>
                <w:sz w:val="24"/>
                <w:szCs w:val="24"/>
              </w:rPr>
              <w:t>8</w:t>
            </w:r>
            <w:r>
              <w:rPr>
                <w:webHidden/>
              </w:rPr>
              <w:fldChar w:fldCharType="end"/>
            </w:r>
          </w:hyperlink>
        </w:p>
        <w:p>
          <w:pPr>
            <w:pStyle w:val="TOC1"/>
            <w:tabs>
              <w:tab w:val="clear" w:pos="426"/>
              <w:tab w:val="clear" w:pos="1100"/>
              <w:tab w:val="clear" w:pos="9962"/>
              <w:tab w:val="left" w:pos="270" w:leader="none"/>
              <w:tab w:val="right" w:pos="10710" w:leader="dot"/>
            </w:tabs>
            <w:ind w:hanging="360" w:left="360" w:right="0"/>
            <w:rPr>
              <w:rFonts w:ascii="Arial" w:hAnsi="Arial" w:cs="Arial"/>
              <w:sz w:val="24"/>
              <w:szCs w:val="24"/>
              <w:lang w:eastAsia="en-US"/>
            </w:rPr>
          </w:pPr>
          <w:hyperlink w:anchor="_Toc137194955">
            <w:r>
              <w:rPr>
                <w:webHidden/>
                <w:rStyle w:val="Rodyklssaitas"/>
                <w:rFonts w:cs="Arial" w:ascii="Arial" w:hAnsi="Arial"/>
                <w:vanish w:val="false"/>
                <w:sz w:val="24"/>
                <w:szCs w:val="24"/>
              </w:rPr>
              <w:t>9. Kitos sąlygos</w:t>
            </w:r>
            <w:r>
              <w:rPr>
                <w:rStyle w:val="Rodyklssaitas"/>
                <w:rFonts w:cs="Arial" w:ascii="Arial" w:hAnsi="Arial"/>
                <w:vanish/>
                <w:sz w:val="24"/>
                <w:szCs w:val="24"/>
              </w:rPr>
              <w:tab/>
            </w:r>
            <w:r>
              <w:rPr>
                <w:webHidden/>
              </w:rPr>
              <w:fldChar w:fldCharType="begin"/>
            </w:r>
            <w:r>
              <w:rPr>
                <w:webHidden/>
              </w:rPr>
              <w:instrText xml:space="preserve">PAGEREF _Toc137194955 \h</w:instrText>
            </w:r>
            <w:r>
              <w:rPr>
                <w:webHidden/>
              </w:rPr>
              <w:fldChar w:fldCharType="separate"/>
            </w:r>
            <w:r>
              <w:rPr>
                <w:rStyle w:val="Rodyklssaitas"/>
                <w:rFonts w:cs="Arial" w:ascii="Arial" w:hAnsi="Arial"/>
                <w:sz w:val="24"/>
                <w:szCs w:val="24"/>
              </w:rPr>
              <w:t>9</w:t>
            </w:r>
            <w:r>
              <w:rPr>
                <w:webHidden/>
              </w:rPr>
              <w:fldChar w:fldCharType="end"/>
            </w:r>
          </w:hyperlink>
        </w:p>
        <w:p>
          <w:pPr>
            <w:pStyle w:val="Normal"/>
            <w:tabs>
              <w:tab w:val="clear" w:pos="397"/>
              <w:tab w:val="left" w:pos="270" w:leader="none"/>
            </w:tabs>
            <w:ind w:hanging="360" w:left="360"/>
            <w:rPr>
              <w:rFonts w:ascii="Arial" w:hAnsi="Arial" w:cs="Arial"/>
              <w:sz w:val="24"/>
              <w:szCs w:val="24"/>
            </w:rPr>
          </w:pPr>
          <w:r>
            <w:rPr>
              <w:rFonts w:cs="Arial" w:ascii="Arial" w:hAnsi="Arial"/>
              <w:sz w:val="24"/>
              <w:szCs w:val="24"/>
            </w:rPr>
          </w:r>
          <w:r>
            <w:rPr>
              <w:sz w:val="24"/>
              <w:szCs w:val="24"/>
              <w:rFonts w:cs="Arial" w:ascii="Arial" w:hAnsi="Arial"/>
            </w:rPr>
            <w:fldChar w:fldCharType="end"/>
          </w:r>
        </w:p>
      </w:sdtContent>
    </w:sdt>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jc w:val="center"/>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Normal"/>
        <w:spacing w:before="0" w:after="120"/>
        <w:ind w:hanging="0" w:left="567"/>
        <w:contextualSpacing/>
        <w:rPr>
          <w:rFonts w:ascii="Arial" w:hAnsi="Arial" w:cs="Arial"/>
          <w:sz w:val="24"/>
          <w:szCs w:val="24"/>
        </w:rPr>
      </w:pPr>
      <w:r>
        <w:rPr>
          <w:rFonts w:cs="Arial" w:ascii="Arial" w:hAnsi="Arial"/>
          <w:sz w:val="24"/>
          <w:szCs w:val="24"/>
        </w:rPr>
      </w:r>
    </w:p>
    <w:p>
      <w:pPr>
        <w:pStyle w:val="Heading1"/>
        <w:spacing w:lineRule="auto" w:line="300" w:before="0" w:after="0"/>
        <w:ind w:hanging="0"/>
        <w:rPr>
          <w:rFonts w:ascii="Arial" w:hAnsi="Arial" w:cs="Arial"/>
          <w:b/>
          <w:color w:val="auto"/>
          <w:sz w:val="32"/>
          <w:szCs w:val="32"/>
        </w:rPr>
      </w:pPr>
      <w:bookmarkStart w:id="0" w:name="_Toc137194947"/>
      <w:r>
        <w:rPr>
          <w:rFonts w:cs="Arial" w:ascii="Arial" w:hAnsi="Arial"/>
          <w:b/>
          <w:color w:val="auto"/>
          <w:sz w:val="32"/>
          <w:szCs w:val="32"/>
        </w:rPr>
        <w:t>1. Bendra informacija</w:t>
      </w:r>
      <w:bookmarkEnd w:id="0"/>
      <w:r>
        <w:rPr>
          <w:rFonts w:cs="Arial" w:ascii="Arial" w:hAnsi="Arial"/>
          <w:b/>
          <w:color w:val="auto"/>
          <w:sz w:val="32"/>
          <w:szCs w:val="32"/>
        </w:rPr>
        <w:t xml:space="preserve"> </w:t>
      </w:r>
    </w:p>
    <w:p>
      <w:pPr>
        <w:pStyle w:val="Normal"/>
        <w:spacing w:lineRule="auto" w:line="240"/>
        <w:ind w:firstLine="567"/>
        <w:rPr>
          <w:rFonts w:ascii="Arial" w:hAnsi="Arial" w:cs="Arial"/>
          <w:sz w:val="16"/>
          <w:szCs w:val="16"/>
        </w:rPr>
      </w:pPr>
      <w:r>
        <w:rPr>
          <w:rFonts w:cs="Arial" w:ascii="Arial" w:hAnsi="Arial"/>
          <w:sz w:val="16"/>
          <w:szCs w:val="16"/>
        </w:rPr>
      </w:r>
    </w:p>
    <w:p>
      <w:pPr>
        <w:pStyle w:val="Normal"/>
        <w:spacing w:lineRule="auto" w:line="240"/>
        <w:ind w:firstLine="567"/>
        <w:rPr>
          <w:rFonts w:ascii="Arial" w:hAnsi="Arial" w:eastAsia="Calibri" w:cs="Arial"/>
          <w:sz w:val="24"/>
          <w:szCs w:val="24"/>
        </w:rPr>
      </w:pPr>
      <w:r>
        <w:rPr>
          <w:rFonts w:cs="Arial" w:ascii="Arial" w:hAnsi="Arial"/>
          <w:sz w:val="24"/>
          <w:szCs w:val="24"/>
        </w:rPr>
        <w:t>1.1.</w:t>
      </w:r>
      <w:r>
        <w:rPr>
          <w:rFonts w:eastAsia="Segoe UI" w:cs="Arial" w:ascii="Arial" w:hAnsi="Arial"/>
          <w:sz w:val="24"/>
          <w:szCs w:val="24"/>
        </w:rPr>
        <w:t xml:space="preserve"> </w:t>
      </w:r>
      <w:r>
        <w:rPr>
          <w:rFonts w:eastAsia="Calibri" w:cs="Arial" w:ascii="Arial" w:hAnsi="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pPr>
        <w:pStyle w:val="Normal"/>
        <w:spacing w:lineRule="auto" w:line="240"/>
        <w:ind w:firstLine="567"/>
        <w:rPr>
          <w:rFonts w:ascii="Arial" w:hAnsi="Arial" w:cs="Arial"/>
          <w:sz w:val="24"/>
          <w:szCs w:val="24"/>
        </w:rPr>
      </w:pPr>
      <w:r>
        <w:rPr>
          <w:rFonts w:eastAsia="Calibri" w:cs="Arial" w:ascii="Arial" w:hAnsi="Arial"/>
          <w:sz w:val="24"/>
          <w:szCs w:val="24"/>
        </w:rPr>
        <w:t xml:space="preserve">1.2. </w:t>
      </w:r>
      <w:r>
        <w:rPr>
          <w:rFonts w:cs="Arial" w:ascii="Arial" w:hAnsi="Arial"/>
          <w:sz w:val="24"/>
          <w:szCs w:val="24"/>
        </w:rPr>
        <w:t>Pirkimas neatliekamas naudojantis centralizuotų pirkimų katalogu, nes norimos įsigyti paslaugos nėra įtrauktos į CPO.LT pirkimų katalogą.</w:t>
      </w:r>
    </w:p>
    <w:p>
      <w:pPr>
        <w:pStyle w:val="Normal"/>
        <w:spacing w:lineRule="auto" w:line="240"/>
        <w:ind w:firstLine="567"/>
        <w:rPr>
          <w:rFonts w:ascii="Arial" w:hAnsi="Arial" w:cs="Arial"/>
          <w:sz w:val="24"/>
          <w:szCs w:val="24"/>
        </w:rPr>
      </w:pPr>
      <w:r>
        <w:rPr>
          <w:rFonts w:cs="Arial" w:ascii="Arial" w:hAnsi="Arial"/>
          <w:sz w:val="24"/>
          <w:szCs w:val="24"/>
        </w:rPr>
        <w:t>1.3. Pirkimo Komisija nėra sudaroma.</w:t>
      </w:r>
    </w:p>
    <w:p>
      <w:pPr>
        <w:pStyle w:val="Normal"/>
        <w:spacing w:lineRule="auto" w:line="240"/>
        <w:ind w:firstLine="567"/>
        <w:rPr>
          <w:rFonts w:ascii="Arial" w:hAnsi="Arial" w:cs="Arial"/>
          <w:sz w:val="24"/>
          <w:szCs w:val="24"/>
        </w:rPr>
      </w:pPr>
      <w:r>
        <w:rPr>
          <w:rFonts w:cs="Arial" w:ascii="Arial" w:hAnsi="Arial"/>
          <w:sz w:val="24"/>
          <w:szCs w:val="24"/>
        </w:rPr>
        <w:t xml:space="preserve">1.4. 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4.4.3 papunkčiu: perkama tik nematerialaus pobūdžio (intelektinė) ar kitokia paslauga, nesusijusi su materialaus objekto sukūrimu, kurios teikimo metu nėra numatomas reikšmingas neigiamas poveikis aplinkai, nesukuriamas taršos šaltinis ir negeneruojamos atliekos. </w:t>
      </w:r>
    </w:p>
    <w:p>
      <w:pPr>
        <w:pStyle w:val="Normal"/>
        <w:spacing w:lineRule="auto" w:line="240"/>
        <w:ind w:firstLine="567"/>
        <w:rPr>
          <w:rFonts w:ascii="Arial" w:hAnsi="Arial" w:eastAsia="Arial" w:cs="Arial"/>
          <w:sz w:val="24"/>
          <w:szCs w:val="24"/>
        </w:rPr>
      </w:pPr>
      <w:r>
        <w:rPr>
          <w:rFonts w:cs="Arial" w:ascii="Arial" w:hAnsi="Arial"/>
          <w:sz w:val="24"/>
          <w:szCs w:val="24"/>
        </w:rPr>
        <w:t>1.5</w:t>
      </w:r>
      <w:r>
        <w:rPr>
          <w:rFonts w:eastAsia="Arial" w:cs="Arial" w:ascii="Arial" w:hAnsi="Arial"/>
          <w:sz w:val="24"/>
          <w:szCs w:val="24"/>
        </w:rPr>
        <w:t>. Bendrosios pirkimo sąlygos yra neatskiriama šių pirkimo sąlygų dalis.</w:t>
      </w:r>
    </w:p>
    <w:p>
      <w:pPr>
        <w:pStyle w:val="Heading1"/>
        <w:spacing w:lineRule="auto" w:line="300" w:before="360" w:after="0"/>
        <w:ind w:hanging="0"/>
        <w:rPr>
          <w:rFonts w:ascii="Arial" w:hAnsi="Arial" w:cs="Arial"/>
          <w:b/>
          <w:color w:val="auto"/>
          <w:sz w:val="32"/>
          <w:szCs w:val="32"/>
        </w:rPr>
      </w:pPr>
      <w:bookmarkStart w:id="1" w:name="_Toc137194948"/>
      <w:r>
        <w:rPr>
          <w:rFonts w:cs="Arial" w:ascii="Arial" w:hAnsi="Arial"/>
          <w:b/>
          <w:color w:val="auto"/>
          <w:sz w:val="32"/>
          <w:szCs w:val="32"/>
        </w:rPr>
        <w:t>2. Pirkimo objektas</w:t>
      </w:r>
      <w:bookmarkEnd w:id="1"/>
    </w:p>
    <w:p>
      <w:pPr>
        <w:pStyle w:val="Normal"/>
        <w:spacing w:lineRule="auto" w:line="240"/>
        <w:ind w:hanging="0"/>
        <w:rPr>
          <w:rFonts w:ascii="Arial" w:hAnsi="Arial" w:cs="Arial"/>
          <w:sz w:val="16"/>
          <w:szCs w:val="16"/>
        </w:rPr>
      </w:pPr>
      <w:r>
        <w:rPr>
          <w:rFonts w:cs="Arial" w:ascii="Arial" w:hAnsi="Arial"/>
          <w:sz w:val="16"/>
          <w:szCs w:val="16"/>
        </w:rPr>
      </w:r>
    </w:p>
    <w:p>
      <w:pPr>
        <w:pStyle w:val="NoSpacing"/>
        <w:tabs>
          <w:tab w:val="clear" w:pos="397"/>
          <w:tab w:val="left" w:pos="993" w:leader="none"/>
        </w:tabs>
        <w:spacing w:before="0" w:after="120"/>
        <w:ind w:firstLine="630"/>
        <w:contextualSpacing/>
        <w:rPr>
          <w:rFonts w:ascii="Arial" w:hAnsi="Arial" w:cs="Arial"/>
          <w:color w:themeColor="text1" w:val="000000"/>
          <w:sz w:val="24"/>
          <w:szCs w:val="24"/>
        </w:rPr>
      </w:pPr>
      <w:r>
        <w:rPr>
          <w:rFonts w:cs="Arial" w:ascii="Arial" w:hAnsi="Arial"/>
          <w:sz w:val="24"/>
          <w:szCs w:val="24"/>
        </w:rPr>
        <w:t xml:space="preserve">2.1. Perkančioji organizacija </w:t>
      </w:r>
      <w:r>
        <w:rPr>
          <w:rFonts w:eastAsia="Calibri" w:cs="Arial" w:ascii="Arial" w:hAnsi="Arial"/>
          <w:color w:themeColor="text1" w:val="000000"/>
          <w:sz w:val="24"/>
          <w:szCs w:val="24"/>
        </w:rPr>
        <w:t xml:space="preserve">numato įsigyti </w:t>
      </w:r>
      <w:r>
        <w:rPr>
          <w:rFonts w:eastAsia="Calibri" w:cs="Arial" w:ascii="Arial" w:hAnsi="Arial"/>
          <w:b/>
          <w:color w:themeColor="text1" w:val="000000"/>
          <w:sz w:val="24"/>
          <w:szCs w:val="24"/>
        </w:rPr>
        <w:t>Prienų rajono savivaldybės gyvenamųjų vietovių panaikinimo, nustatymo ir pavadinimų suteikimo, teritorijų ribų nustatymo plano parengimo paslaugas</w:t>
      </w:r>
      <w:r>
        <w:rPr>
          <w:rFonts w:eastAsia="Calibri" w:cs="Arial" w:ascii="Arial" w:hAnsi="Arial"/>
          <w:color w:themeColor="text1" w:val="000000"/>
          <w:sz w:val="24"/>
          <w:szCs w:val="24"/>
        </w:rPr>
        <w:t xml:space="preserve"> (toliau – Paslaugos). Reikalavimai pirkimo objektui nustatyti specialiųjų pirkimo sąlygų 3 priede „Techninė specifikacija“. </w:t>
      </w:r>
    </w:p>
    <w:p>
      <w:pPr>
        <w:pStyle w:val="NoSpacing"/>
        <w:spacing w:before="0" w:after="0"/>
        <w:ind w:firstLine="567"/>
        <w:contextualSpacing/>
        <w:rPr>
          <w:rFonts w:ascii="Arial" w:hAnsi="Arial" w:cs="Arial"/>
          <w:sz w:val="24"/>
          <w:szCs w:val="24"/>
        </w:rPr>
      </w:pPr>
      <w:r>
        <w:rPr>
          <w:rFonts w:cs="Arial" w:ascii="Arial" w:hAnsi="Arial"/>
          <w:sz w:val="24"/>
          <w:szCs w:val="24"/>
        </w:rPr>
        <w:t>2.2. Pirkimo objektas į dalis neskaidomas. Pirkimo apimtys, reikalavimai ir techninė specifikacija apibrėžti specialiųjų pirkimo sąlygų 3</w:t>
      </w:r>
      <w:r>
        <w:rPr>
          <w:rFonts w:cs="Arial" w:ascii="Arial" w:hAnsi="Arial"/>
          <w:color w:val="00B050"/>
          <w:sz w:val="24"/>
          <w:szCs w:val="24"/>
        </w:rPr>
        <w:t xml:space="preserve"> </w:t>
      </w:r>
      <w:r>
        <w:rPr>
          <w:rFonts w:cs="Arial" w:ascii="Arial" w:hAnsi="Arial"/>
          <w:sz w:val="24"/>
          <w:szCs w:val="24"/>
        </w:rPr>
        <w:t>priede.</w:t>
      </w:r>
    </w:p>
    <w:p>
      <w:pPr>
        <w:pStyle w:val="NoSpacing"/>
        <w:spacing w:before="0" w:after="0"/>
        <w:ind w:firstLine="567"/>
        <w:contextualSpacing/>
        <w:rPr>
          <w:rFonts w:ascii="Arial" w:hAnsi="Arial" w:cs="Arial"/>
          <w:sz w:val="24"/>
          <w:szCs w:val="24"/>
        </w:rPr>
      </w:pPr>
      <w:r>
        <w:rPr>
          <w:rFonts w:cs="Arial" w:ascii="Arial" w:hAnsi="Arial"/>
          <w:sz w:val="24"/>
          <w:szCs w:val="24"/>
        </w:rPr>
        <w:t xml:space="preserve">2.3. 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spacing w:before="0" w:after="0"/>
        <w:ind w:firstLine="567"/>
        <w:contextualSpacing/>
        <w:rPr>
          <w:rFonts w:ascii="Arial" w:hAnsi="Arial" w:cs="Arial"/>
          <w:sz w:val="24"/>
          <w:szCs w:val="24"/>
        </w:rPr>
      </w:pPr>
      <w:r>
        <w:rPr>
          <w:rFonts w:cs="Arial" w:ascii="Arial" w:hAnsi="Arial"/>
          <w:sz w:val="24"/>
          <w:szCs w:val="24"/>
        </w:rPr>
        <w:t xml:space="preserve">2.4. Jeigu apibūdinant pirkimo objektą techninėje specifikacijoje </w:t>
      </w:r>
      <w:r>
        <w:rPr>
          <w:rFonts w:cs="Arial" w:ascii="Arial" w:hAnsi="Arial"/>
        </w:rPr>
        <w:t xml:space="preserve"> </w:t>
      </w:r>
      <w:r>
        <w:rPr>
          <w:rFonts w:cs="Arial" w:ascii="Arial" w:hAnsi="Arial"/>
          <w:sz w:val="24"/>
          <w:szCs w:val="24"/>
        </w:rPr>
        <w:t xml:space="preserve">ir kituose pirkimo dokumentuose nurodytas standartas, </w:t>
      </w:r>
      <w:r>
        <w:rPr>
          <w:rFonts w:cs="Arial" w:ascii="Arial" w:hAnsi="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Arial" w:ascii="Arial" w:hAnsi="Arial"/>
          <w:sz w:val="24"/>
          <w:szCs w:val="24"/>
        </w:rPr>
        <w:t xml:space="preserve">turi būti laikoma, kad kiekviena tokia nuoroda yra pateikta su žodžiais „arba lygiavertis“. </w:t>
      </w:r>
    </w:p>
    <w:p>
      <w:pPr>
        <w:pStyle w:val="Heading1"/>
        <w:spacing w:before="360" w:after="0"/>
        <w:ind w:hanging="0"/>
        <w:rPr>
          <w:rFonts w:ascii="Arial" w:hAnsi="Arial" w:cs="Arial"/>
          <w:b/>
          <w:color w:val="auto"/>
          <w:sz w:val="32"/>
          <w:szCs w:val="32"/>
        </w:rPr>
      </w:pPr>
      <w:bookmarkStart w:id="2" w:name="_Toc137194949"/>
      <w:r>
        <w:rPr>
          <w:rFonts w:cs="Arial" w:ascii="Arial" w:hAnsi="Arial"/>
          <w:b/>
          <w:color w:val="auto"/>
          <w:sz w:val="32"/>
          <w:szCs w:val="32"/>
        </w:rPr>
        <w:t>3. Tiekėjų pašalinimo pagrindai, kvalifikacijos reikalavimai ir reikalaujami kokybės vadybos sistemos ir (arba) aplinkos apsaugos vadybos sistemos standartai</w:t>
      </w:r>
      <w:bookmarkEnd w:id="2"/>
      <w:r>
        <w:rPr>
          <w:rFonts w:cs="Arial" w:ascii="Arial" w:hAnsi="Arial"/>
          <w:b/>
          <w:color w:val="auto"/>
          <w:sz w:val="32"/>
          <w:szCs w:val="32"/>
        </w:rPr>
        <w:t xml:space="preserve"> </w:t>
      </w:r>
    </w:p>
    <w:p>
      <w:pPr>
        <w:pStyle w:val="Normal"/>
        <w:spacing w:lineRule="auto" w:line="240"/>
        <w:ind w:hanging="0"/>
        <w:rPr>
          <w:rFonts w:ascii="Arial" w:hAnsi="Arial" w:cs="Arial"/>
          <w:sz w:val="16"/>
          <w:szCs w:val="16"/>
        </w:rPr>
      </w:pPr>
      <w:r>
        <w:rPr>
          <w:rFonts w:cs="Arial" w:ascii="Arial" w:hAnsi="Arial"/>
          <w:sz w:val="16"/>
          <w:szCs w:val="16"/>
        </w:rPr>
      </w:r>
    </w:p>
    <w:p>
      <w:pPr>
        <w:pStyle w:val="Normal"/>
        <w:tabs>
          <w:tab w:val="clear" w:pos="397"/>
          <w:tab w:val="left" w:pos="851" w:leader="none"/>
        </w:tabs>
        <w:spacing w:lineRule="auto" w:line="240"/>
        <w:ind w:firstLine="567"/>
        <w:rPr>
          <w:rFonts w:ascii="Arial" w:hAnsi="Arial" w:cs="Arial"/>
          <w:sz w:val="24"/>
          <w:szCs w:val="24"/>
        </w:rPr>
      </w:pPr>
      <w:bookmarkStart w:id="3" w:name="_Toc137194950"/>
      <w:r>
        <w:rPr>
          <w:rFonts w:cs="Arial" w:ascii="Arial" w:hAnsi="Arial"/>
          <w:sz w:val="24"/>
          <w:szCs w:val="24"/>
        </w:rPr>
        <w:t xml:space="preserve">3.1. Reikalavimai dėl tiekėjo ir subtiekėjų (jeigu taikoma), ūkio subjektų, kurių pajėgumais tiekėjas remiasi, pašalinimo pagrindų nebuvimo bei jų nebuvimą patvirtinantys dokumentai nurodyti specialiųjų pirkimo sąlygų 1 priede. </w:t>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t>3.2. 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pPr>
        <w:pStyle w:val="Normal"/>
        <w:tabs>
          <w:tab w:val="clear" w:pos="397"/>
          <w:tab w:val="left" w:pos="851" w:leader="none"/>
        </w:tabs>
        <w:spacing w:lineRule="atLeast" w:line="20"/>
        <w:ind w:firstLine="567"/>
        <w:rPr>
          <w:rFonts w:ascii="Arial" w:hAnsi="Arial" w:eastAsia="Arial" w:cs="Arial"/>
          <w:sz w:val="24"/>
          <w:szCs w:val="24"/>
        </w:rPr>
      </w:pPr>
      <w:r>
        <w:rPr>
          <w:rFonts w:eastAsia="Arial" w:cs="Arial" w:ascii="Arial" w:hAnsi="Arial"/>
          <w:sz w:val="24"/>
          <w:szCs w:val="24"/>
        </w:rPr>
        <w:t xml:space="preserve">3.3. Tiekėjas teikdamas pasiūlymą neturi pateikti nei EBVPD, nei laisvos formos deklaracijos dėl atitikties reikalavimams. </w:t>
      </w:r>
    </w:p>
    <w:p>
      <w:pPr>
        <w:pStyle w:val="Heading1"/>
        <w:spacing w:lineRule="auto" w:line="300" w:before="360" w:after="0"/>
        <w:ind w:hanging="0"/>
        <w:rPr>
          <w:rFonts w:ascii="Arial" w:hAnsi="Arial" w:cs="Arial"/>
          <w:b/>
          <w:color w:val="auto"/>
          <w:sz w:val="32"/>
          <w:szCs w:val="32"/>
        </w:rPr>
      </w:pPr>
      <w:bookmarkStart w:id="4" w:name="_Toc137194950"/>
      <w:r>
        <w:rPr>
          <w:rFonts w:cs="Arial" w:ascii="Arial" w:hAnsi="Arial"/>
          <w:b/>
          <w:color w:val="auto"/>
          <w:sz w:val="32"/>
          <w:szCs w:val="32"/>
        </w:rPr>
        <w:t>4. Reikalavimai, susiję su nacionaliniu saugumu</w:t>
      </w:r>
      <w:bookmarkEnd w:id="4"/>
      <w:r>
        <w:rPr>
          <w:rFonts w:cs="Arial" w:ascii="Arial" w:hAnsi="Arial"/>
          <w:b/>
          <w:color w:val="auto"/>
          <w:sz w:val="32"/>
          <w:szCs w:val="32"/>
        </w:rPr>
        <w:t xml:space="preserve"> </w:t>
      </w:r>
    </w:p>
    <w:p>
      <w:pPr>
        <w:pStyle w:val="ListParagraph"/>
        <w:spacing w:lineRule="atLeast" w:line="20"/>
        <w:ind w:hanging="0" w:left="697"/>
        <w:rPr>
          <w:rFonts w:ascii="Arial" w:hAnsi="Arial" w:cs="Arial"/>
          <w:sz w:val="16"/>
          <w:szCs w:val="16"/>
        </w:rPr>
      </w:pPr>
      <w:r>
        <w:rPr>
          <w:rFonts w:cs="Arial" w:ascii="Arial" w:hAnsi="Arial"/>
          <w:sz w:val="16"/>
          <w:szCs w:val="16"/>
        </w:rPr>
      </w:r>
    </w:p>
    <w:p>
      <w:pPr>
        <w:pStyle w:val="ListParagraph"/>
        <w:spacing w:lineRule="auto" w:line="240"/>
        <w:ind w:firstLine="567" w:left="0"/>
        <w:rPr>
          <w:rFonts w:ascii="Arial" w:hAnsi="Arial" w:cs="Arial"/>
          <w:sz w:val="24"/>
          <w:szCs w:val="24"/>
        </w:rPr>
      </w:pPr>
      <w:r>
        <w:rPr>
          <w:rFonts w:cs="Arial" w:ascii="Arial" w:hAnsi="Arial"/>
          <w:iCs/>
          <w:sz w:val="24"/>
          <w:szCs w:val="24"/>
        </w:rPr>
        <w:t xml:space="preserve">4.1. Perkančioji organizacija netaiko nuostatų, susijusių su nacionaliniu saugumu. </w:t>
      </w:r>
    </w:p>
    <w:p>
      <w:pPr>
        <w:pStyle w:val="Heading1"/>
        <w:spacing w:lineRule="auto" w:line="300" w:before="360" w:after="0"/>
        <w:ind w:hanging="0"/>
        <w:rPr>
          <w:rFonts w:ascii="Arial" w:hAnsi="Arial" w:cs="Arial"/>
          <w:b/>
          <w:color w:val="auto"/>
          <w:sz w:val="32"/>
          <w:szCs w:val="32"/>
        </w:rPr>
      </w:pPr>
      <w:bookmarkStart w:id="5" w:name="_Toc137194951"/>
      <w:bookmarkStart w:id="6" w:name="_Ref39666794"/>
      <w:bookmarkStart w:id="7" w:name="_Ref39666796"/>
      <w:bookmarkStart w:id="8" w:name="_Toc48053171"/>
      <w:r>
        <w:rPr>
          <w:rFonts w:cs="Arial" w:ascii="Arial" w:hAnsi="Arial"/>
          <w:b/>
          <w:color w:val="auto"/>
          <w:sz w:val="32"/>
          <w:szCs w:val="32"/>
        </w:rPr>
        <w:t>5. Specialieji reikalavimai pasiūlymų rengimui ir pateikimui</w:t>
      </w:r>
      <w:bookmarkEnd w:id="5"/>
      <w:bookmarkEnd w:id="6"/>
      <w:bookmarkEnd w:id="7"/>
      <w:bookmarkEnd w:id="8"/>
    </w:p>
    <w:p>
      <w:pPr>
        <w:pStyle w:val="Normal"/>
        <w:ind w:hanging="0"/>
        <w:rPr>
          <w:rFonts w:ascii="Arial" w:hAnsi="Arial" w:cs="Arial"/>
          <w:b/>
          <w:bCs/>
          <w:sz w:val="16"/>
          <w:szCs w:val="16"/>
        </w:rPr>
      </w:pPr>
      <w:r>
        <w:rPr>
          <w:rFonts w:cs="Arial" w:ascii="Arial" w:hAnsi="Arial"/>
          <w:b/>
          <w:bCs/>
          <w:sz w:val="16"/>
          <w:szCs w:val="16"/>
        </w:rPr>
      </w:r>
    </w:p>
    <w:p>
      <w:pPr>
        <w:pStyle w:val="ListParagraph"/>
        <w:spacing w:lineRule="auto" w:line="240"/>
        <w:ind w:firstLine="567" w:left="0"/>
        <w:rPr>
          <w:rFonts w:ascii="Arial" w:hAnsi="Arial" w:cs="Arial"/>
          <w:sz w:val="24"/>
          <w:szCs w:val="24"/>
        </w:rPr>
      </w:pPr>
      <w:r>
        <w:rPr>
          <w:rFonts w:cs="Arial" w:ascii="Arial" w:hAnsi="Arial"/>
          <w:sz w:val="24"/>
          <w:szCs w:val="24"/>
        </w:rPr>
        <w:t>5.1. Tiekėjo pasiūlymą sudaro CVP IS pateikiamų ir žemiau nurodytų dokumentų visuma:</w:t>
      </w:r>
    </w:p>
    <w:p>
      <w:pPr>
        <w:pStyle w:val="ListParagraph"/>
        <w:spacing w:lineRule="auto" w:line="240"/>
        <w:ind w:firstLine="567" w:left="0"/>
        <w:rPr>
          <w:rFonts w:ascii="Arial" w:hAnsi="Arial" w:cs="Arial"/>
          <w:sz w:val="24"/>
          <w:szCs w:val="24"/>
        </w:rPr>
      </w:pPr>
      <w:r>
        <w:rPr>
          <w:rFonts w:cs="Arial" w:ascii="Arial" w:hAnsi="Arial"/>
          <w:sz w:val="24"/>
          <w:szCs w:val="24"/>
        </w:rPr>
        <w:t>5.1.1. Tiekėjo pasiūlymas, parengtas pagal specialiųjų pirkimo sąlygų 4 priede pateiktą pasiūlymo formą ir pasiūlymo formoje nurodyti ir kiti, tiekėjo nuomone, būtini dokumentai (jų kopijos).</w:t>
      </w:r>
    </w:p>
    <w:p>
      <w:pPr>
        <w:pStyle w:val="ListParagraph"/>
        <w:spacing w:lineRule="auto" w:line="240"/>
        <w:ind w:firstLine="567" w:left="0"/>
        <w:rPr>
          <w:rFonts w:ascii="Arial" w:hAnsi="Arial" w:cs="Arial"/>
          <w:sz w:val="24"/>
          <w:szCs w:val="24"/>
        </w:rPr>
      </w:pPr>
      <w:r>
        <w:rPr>
          <w:rFonts w:cs="Arial" w:ascii="Arial" w:hAnsi="Arial"/>
          <w:sz w:val="24"/>
          <w:szCs w:val="24"/>
        </w:rPr>
        <w:t>5.2. Perkančioji organizacija nereikalauja, kad pasiūlymas būtų pasirašytas.</w:t>
      </w:r>
    </w:p>
    <w:p>
      <w:pPr>
        <w:pStyle w:val="ListParagraph"/>
        <w:spacing w:lineRule="auto" w:line="240"/>
        <w:ind w:firstLine="567" w:left="0"/>
        <w:rPr>
          <w:rFonts w:ascii="Arial" w:hAnsi="Arial" w:cs="Arial"/>
          <w:sz w:val="24"/>
          <w:szCs w:val="24"/>
        </w:rPr>
      </w:pPr>
      <w:r>
        <w:rPr>
          <w:rFonts w:cs="Arial" w:ascii="Arial" w:hAnsi="Arial"/>
          <w:sz w:val="24"/>
          <w:szCs w:val="24"/>
        </w:rPr>
        <w:t xml:space="preserve">5.3. Pasiūlymas turi būti parengtas lietuvių kalba. Jei kurie nors su pasiūlymu teikiami dokumentai parengti ne ta kalba, kuria reikalaujama, turi būti pateiktas tikslus vertimas į reikalaujamą kalbą. </w:t>
      </w:r>
    </w:p>
    <w:p>
      <w:pPr>
        <w:pStyle w:val="ListParagraph"/>
        <w:spacing w:lineRule="auto" w:line="240"/>
        <w:ind w:firstLine="567" w:left="0"/>
        <w:rPr>
          <w:rFonts w:ascii="Arial" w:hAnsi="Arial" w:cs="Arial"/>
          <w:sz w:val="24"/>
          <w:szCs w:val="24"/>
        </w:rPr>
      </w:pPr>
      <w:r>
        <w:rPr>
          <w:rFonts w:cs="Arial" w:ascii="Arial" w:hAnsi="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spacing w:lineRule="auto" w:line="240"/>
        <w:ind w:firstLine="567" w:left="0"/>
        <w:rPr>
          <w:rFonts w:ascii="Arial" w:hAnsi="Arial" w:cs="Arial"/>
          <w:sz w:val="24"/>
          <w:szCs w:val="24"/>
        </w:rPr>
      </w:pPr>
      <w:r>
        <w:rPr>
          <w:rFonts w:cs="Arial" w:ascii="Arial" w:hAnsi="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pPr>
        <w:pStyle w:val="ListParagraph"/>
        <w:spacing w:lineRule="auto" w:line="240"/>
        <w:ind w:firstLine="567" w:left="0"/>
        <w:rPr>
          <w:rFonts w:ascii="Arial" w:hAnsi="Arial" w:cs="Arial"/>
          <w:sz w:val="24"/>
          <w:szCs w:val="24"/>
        </w:rPr>
      </w:pPr>
      <w:r>
        <w:rPr>
          <w:rFonts w:cs="Arial" w:ascii="Arial" w:hAnsi="Arial"/>
          <w:sz w:val="24"/>
          <w:szCs w:val="24"/>
        </w:rPr>
        <w:t>5.6. Tiekėjų pasiūlymuose nurodytos kainos bus vertinamos ir lyginamos su visais mokesčiais, įskaitant PVM.</w:t>
      </w:r>
    </w:p>
    <w:p>
      <w:pPr>
        <w:pStyle w:val="Heading1"/>
        <w:spacing w:lineRule="auto" w:line="300" w:before="360" w:after="0"/>
        <w:ind w:hanging="0"/>
        <w:rPr>
          <w:rFonts w:ascii="Arial" w:hAnsi="Arial" w:cs="Arial"/>
          <w:b/>
          <w:color w:val="auto"/>
          <w:sz w:val="32"/>
          <w:szCs w:val="32"/>
        </w:rPr>
      </w:pPr>
      <w:bookmarkStart w:id="9" w:name="_Toc137194952"/>
      <w:r>
        <w:rPr>
          <w:rFonts w:cs="Arial" w:ascii="Arial" w:hAnsi="Arial"/>
          <w:b/>
          <w:color w:val="auto"/>
          <w:sz w:val="32"/>
          <w:szCs w:val="32"/>
        </w:rPr>
        <w:t>6. Pasiūlymo galiojimo užtikrinimas</w:t>
      </w:r>
      <w:bookmarkEnd w:id="9"/>
    </w:p>
    <w:p>
      <w:pPr>
        <w:pStyle w:val="Normal"/>
        <w:ind w:hanging="0"/>
        <w:rPr>
          <w:rFonts w:ascii="Arial" w:hAnsi="Arial" w:cs="Arial"/>
          <w:i/>
          <w:i/>
          <w:iCs/>
          <w:color w:val="7030A0"/>
          <w:sz w:val="16"/>
          <w:szCs w:val="16"/>
        </w:rPr>
      </w:pPr>
      <w:r>
        <w:rPr>
          <w:rFonts w:cs="Arial" w:ascii="Arial" w:hAnsi="Arial"/>
          <w:i/>
          <w:iCs/>
          <w:color w:val="7030A0"/>
          <w:sz w:val="16"/>
          <w:szCs w:val="16"/>
        </w:rPr>
      </w:r>
    </w:p>
    <w:p>
      <w:pPr>
        <w:pStyle w:val="ListParagraph"/>
        <w:spacing w:lineRule="auto" w:line="240"/>
        <w:ind w:firstLine="567" w:left="0"/>
        <w:rPr>
          <w:rFonts w:ascii="Arial" w:hAnsi="Arial" w:cs="Arial"/>
          <w:sz w:val="24"/>
          <w:szCs w:val="24"/>
        </w:rPr>
      </w:pPr>
      <w:r>
        <w:rPr>
          <w:rFonts w:cs="Arial" w:ascii="Arial" w:hAnsi="Arial"/>
          <w:sz w:val="24"/>
          <w:szCs w:val="24"/>
        </w:rPr>
        <w:t xml:space="preserve">6.1. </w:t>
      </w:r>
      <w:r>
        <w:rPr>
          <w:rFonts w:eastAsia="Calibri" w:cs="Arial" w:ascii="Arial" w:hAnsi="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spacing w:lineRule="auto" w:line="300" w:before="360" w:after="0"/>
        <w:ind w:hanging="0"/>
        <w:rPr>
          <w:rFonts w:ascii="Arial" w:hAnsi="Arial" w:cs="Arial"/>
          <w:b/>
          <w:sz w:val="32"/>
          <w:szCs w:val="32"/>
        </w:rPr>
      </w:pPr>
      <w:bookmarkStart w:id="10" w:name="_Toc137194953"/>
      <w:bookmarkStart w:id="11" w:name="_Toc15392775"/>
      <w:r>
        <w:rPr>
          <w:rFonts w:cs="Arial" w:ascii="Arial" w:hAnsi="Arial"/>
          <w:b/>
          <w:color w:val="auto"/>
          <w:sz w:val="32"/>
          <w:szCs w:val="32"/>
        </w:rPr>
        <w:t>7. P</w:t>
      </w:r>
      <w:bookmarkEnd w:id="11"/>
      <w:r>
        <w:rPr>
          <w:rFonts w:cs="Arial" w:ascii="Arial" w:hAnsi="Arial"/>
          <w:b/>
          <w:color w:val="auto"/>
          <w:sz w:val="32"/>
          <w:szCs w:val="32"/>
        </w:rPr>
        <w:t>asiūlymų vertinimas</w:t>
      </w:r>
      <w:bookmarkEnd w:id="10"/>
    </w:p>
    <w:p>
      <w:pPr>
        <w:pStyle w:val="ListParagraph"/>
        <w:spacing w:lineRule="auto" w:line="240"/>
        <w:ind w:firstLine="567" w:left="0"/>
        <w:rPr>
          <w:rFonts w:ascii="Arial" w:hAnsi="Arial" w:eastAsia="Calibri" w:cs="Arial"/>
          <w:sz w:val="16"/>
          <w:szCs w:val="16"/>
        </w:rPr>
      </w:pPr>
      <w:r>
        <w:rPr>
          <w:rFonts w:eastAsia="Calibri" w:cs="Arial" w:ascii="Arial" w:hAnsi="Arial"/>
          <w:sz w:val="16"/>
          <w:szCs w:val="16"/>
        </w:rPr>
      </w:r>
    </w:p>
    <w:p>
      <w:pPr>
        <w:pStyle w:val="ListParagraph"/>
        <w:tabs>
          <w:tab w:val="clear" w:pos="397"/>
          <w:tab w:val="left" w:pos="1170" w:leader="none"/>
        </w:tabs>
        <w:spacing w:lineRule="auto" w:line="240"/>
        <w:ind w:firstLine="630" w:left="0"/>
        <w:rPr>
          <w:rFonts w:ascii="Arial" w:hAnsi="Arial" w:eastAsia="Calibri" w:cs="Arial"/>
          <w:sz w:val="24"/>
          <w:szCs w:val="24"/>
        </w:rPr>
      </w:pPr>
      <w:r>
        <w:rPr>
          <w:rFonts w:eastAsia="Calibri" w:cs="Arial" w:ascii="Arial" w:hAnsi="Arial"/>
          <w:sz w:val="24"/>
          <w:szCs w:val="24"/>
        </w:rPr>
        <w:t xml:space="preserve">7.1. </w:t>
      </w:r>
      <w:r>
        <w:rPr>
          <w:rFonts w:cs="Arial" w:ascii="Arial" w:hAnsi="Arial"/>
          <w:sz w:val="24"/>
          <w:szCs w:val="24"/>
        </w:rPr>
        <w:t>Perkančioji organizacija</w:t>
      </w:r>
      <w:r>
        <w:rPr>
          <w:rFonts w:eastAsia="Calibri" w:cs="Arial" w:ascii="Arial" w:hAnsi="Arial"/>
          <w:sz w:val="24"/>
          <w:szCs w:val="24"/>
        </w:rPr>
        <w:t xml:space="preserve"> ekonomiškai naudingiausią pasiūlymą išrenka pagal tiekėjo pasiūlyme nurodytą kainą, kuri turi būti apskaičiuota ir nurodyta taip, kaip reikalaujama specialiųjų pirkimo sąlygų 4 priede „Pasiūlymo forma“.  </w:t>
      </w:r>
    </w:p>
    <w:p>
      <w:pPr>
        <w:pStyle w:val="ListParagraph"/>
        <w:tabs>
          <w:tab w:val="clear" w:pos="397"/>
          <w:tab w:val="left" w:pos="1170" w:leader="none"/>
        </w:tabs>
        <w:spacing w:lineRule="auto" w:line="240"/>
        <w:ind w:firstLine="630" w:left="0"/>
        <w:rPr>
          <w:rFonts w:ascii="Arial" w:hAnsi="Arial" w:eastAsia="Calibri" w:cs="Arial"/>
          <w:sz w:val="24"/>
          <w:szCs w:val="24"/>
        </w:rPr>
      </w:pPr>
      <w:r>
        <w:rPr>
          <w:rFonts w:eastAsia="Calibri" w:cs="Arial" w:ascii="Arial" w:hAnsi="Arial"/>
          <w:sz w:val="24"/>
          <w:szCs w:val="24"/>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pPr>
        <w:pStyle w:val="ListParagraph"/>
        <w:tabs>
          <w:tab w:val="clear" w:pos="397"/>
          <w:tab w:val="left" w:pos="1170" w:leader="none"/>
        </w:tabs>
        <w:spacing w:lineRule="auto" w:line="240"/>
        <w:ind w:firstLine="630" w:left="0"/>
        <w:rPr>
          <w:rFonts w:ascii="Arial" w:hAnsi="Arial" w:eastAsia="Calibri" w:cs="Arial"/>
          <w:sz w:val="24"/>
          <w:szCs w:val="24"/>
        </w:rPr>
      </w:pPr>
      <w:r>
        <w:rPr>
          <w:rFonts w:eastAsia="Calibri" w:cs="Arial" w:ascii="Arial" w:hAnsi="Arial"/>
          <w:sz w:val="24"/>
          <w:szCs w:val="24"/>
        </w:rPr>
        <w:t>7.3. Į pasiūlymų eilę traukiami visi, išskyrus atmesti, pasiūlymai, pažymint, kurie pasiūlymai nebuvo įvertinti.</w:t>
      </w:r>
    </w:p>
    <w:p>
      <w:pPr>
        <w:pStyle w:val="ListParagraph"/>
        <w:tabs>
          <w:tab w:val="clear" w:pos="397"/>
          <w:tab w:val="left" w:pos="1170" w:leader="none"/>
        </w:tabs>
        <w:spacing w:lineRule="auto" w:line="240"/>
        <w:ind w:firstLine="630" w:left="0"/>
        <w:rPr>
          <w:rFonts w:ascii="Arial" w:hAnsi="Arial" w:cs="Arial"/>
          <w:color w:themeColor="text1" w:val="000000"/>
          <w:sz w:val="24"/>
          <w:szCs w:val="24"/>
        </w:rPr>
      </w:pPr>
      <w:r>
        <w:rPr>
          <w:rFonts w:cs="Arial" w:ascii="Arial" w:hAnsi="Arial"/>
          <w:color w:themeColor="text1" w:val="000000"/>
          <w:sz w:val="24"/>
          <w:szCs w:val="24"/>
        </w:rPr>
        <w:t xml:space="preserve">7.4. Laimėjusiu pasiūlymu galės būti pripažintas tik 1 (vienas) ekonomiškai naudingiausias pasiūlymas, esantis pasiūlymų eilės pirmojoje vietoje. </w:t>
      </w:r>
    </w:p>
    <w:p>
      <w:pPr>
        <w:pStyle w:val="ListParagraph"/>
        <w:tabs>
          <w:tab w:val="clear" w:pos="397"/>
          <w:tab w:val="left" w:pos="1170" w:leader="none"/>
        </w:tabs>
        <w:spacing w:lineRule="auto" w:line="240"/>
        <w:ind w:firstLine="630" w:left="0"/>
        <w:rPr>
          <w:rFonts w:ascii="Arial" w:hAnsi="Arial" w:cs="Arial"/>
          <w:b/>
          <w:color w:themeColor="text1" w:val="000000"/>
          <w:sz w:val="24"/>
          <w:szCs w:val="24"/>
        </w:rPr>
      </w:pPr>
      <w:r>
        <w:rPr>
          <w:rFonts w:cs="Arial" w:ascii="Arial" w:hAnsi="Arial"/>
          <w:color w:themeColor="text1" w:val="000000"/>
          <w:sz w:val="24"/>
          <w:szCs w:val="24"/>
        </w:rPr>
        <w:t xml:space="preserve">7.5. Perkančioji organizacija </w:t>
      </w:r>
      <w:r>
        <w:rPr>
          <w:rFonts w:cs="Arial" w:ascii="Arial" w:hAnsi="Arial"/>
          <w:b/>
          <w:color w:themeColor="text1" w:val="000000"/>
          <w:sz w:val="24"/>
          <w:szCs w:val="24"/>
          <w:u w:val="single"/>
        </w:rPr>
        <w:t>atmes tiekėjo pasiūlymą</w:t>
      </w:r>
      <w:r>
        <w:rPr>
          <w:rFonts w:cs="Arial" w:ascii="Arial" w:hAnsi="Arial"/>
          <w:color w:themeColor="text1" w:val="000000"/>
          <w:sz w:val="24"/>
          <w:szCs w:val="24"/>
        </w:rPr>
        <w:t xml:space="preserve">, jeigu kartu su pasiūlymu nebus pateikti šie pirkimo sąlygose reikalaujami pateikti dokumentai: </w:t>
      </w:r>
      <w:r>
        <w:rPr>
          <w:rFonts w:cs="Arial" w:ascii="Arial" w:hAnsi="Arial"/>
          <w:b/>
          <w:color w:themeColor="text1" w:val="000000"/>
          <w:sz w:val="24"/>
          <w:szCs w:val="24"/>
        </w:rPr>
        <w:t xml:space="preserve">pirkimo sąlygų 4 priedas „Pasiūlymas“. </w:t>
      </w:r>
    </w:p>
    <w:p>
      <w:pPr>
        <w:pStyle w:val="Heading1"/>
        <w:tabs>
          <w:tab w:val="clear" w:pos="397"/>
          <w:tab w:val="left" w:pos="567" w:leader="none"/>
        </w:tabs>
        <w:spacing w:lineRule="atLeast" w:line="20" w:before="360" w:after="120"/>
        <w:ind w:hanging="0"/>
        <w:contextualSpacing/>
        <w:rPr>
          <w:rFonts w:ascii="Arial" w:hAnsi="Arial" w:cs="Arial"/>
          <w:b/>
          <w:sz w:val="32"/>
          <w:szCs w:val="32"/>
        </w:rPr>
      </w:pPr>
      <w:bookmarkStart w:id="12" w:name="_Ref39425999"/>
      <w:bookmarkStart w:id="13" w:name="_Ref39426005"/>
      <w:bookmarkStart w:id="14" w:name="_Toc126333937"/>
      <w:bookmarkStart w:id="15" w:name="_Toc137194954"/>
      <w:r>
        <w:rPr>
          <w:rFonts w:cs="Arial" w:ascii="Arial" w:hAnsi="Arial"/>
          <w:b/>
          <w:sz w:val="32"/>
          <w:szCs w:val="32"/>
        </w:rPr>
        <w:t>8. Sutarties sudarymas</w:t>
      </w:r>
      <w:bookmarkEnd w:id="12"/>
      <w:bookmarkEnd w:id="13"/>
      <w:bookmarkEnd w:id="14"/>
      <w:bookmarkEnd w:id="15"/>
    </w:p>
    <w:p>
      <w:pPr>
        <w:pStyle w:val="Normal"/>
        <w:spacing w:lineRule="auto" w:line="240"/>
        <w:ind w:hanging="284" w:left="284"/>
        <w:rPr>
          <w:rFonts w:ascii="Arial" w:hAnsi="Arial" w:cs="Arial"/>
          <w:color w:themeColor="text1" w:val="000000"/>
          <w:sz w:val="16"/>
          <w:szCs w:val="16"/>
        </w:rPr>
      </w:pPr>
      <w:r>
        <w:rPr>
          <w:rFonts w:cs="Arial" w:ascii="Arial" w:hAnsi="Arial"/>
          <w:color w:themeColor="text1" w:val="000000"/>
          <w:sz w:val="16"/>
          <w:szCs w:val="16"/>
        </w:rPr>
      </w:r>
    </w:p>
    <w:p>
      <w:pPr>
        <w:pStyle w:val="ListParagraph"/>
        <w:spacing w:lineRule="auto" w:line="240"/>
        <w:ind w:firstLine="567" w:left="0"/>
        <w:rPr>
          <w:rFonts w:ascii="Arial" w:hAnsi="Arial" w:cs="Arial"/>
          <w:sz w:val="24"/>
          <w:szCs w:val="24"/>
        </w:rPr>
      </w:pPr>
      <w:r>
        <w:rPr>
          <w:rFonts w:cs="Arial" w:ascii="Arial" w:hAnsi="Arial"/>
          <w:color w:themeColor="text1" w:val="000000"/>
          <w:sz w:val="24"/>
          <w:szCs w:val="24"/>
        </w:rPr>
        <w:t>8.1. 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o jei pirkimas skaidomas į dalis – su tiekėjais, kurių pasiūlymai bus pripažinti laimėję. </w:t>
      </w:r>
      <w:r>
        <w:rPr>
          <w:rFonts w:cs="Arial" w:ascii="Arial" w:hAnsi="Arial"/>
          <w:sz w:val="24"/>
          <w:szCs w:val="24"/>
        </w:rPr>
        <w:t xml:space="preserve">Sutarties sąlygos pateikiamos specialiųjų pirkimo sąlygų 6 priede „Sutarties projektas“. </w:t>
      </w:r>
    </w:p>
    <w:p>
      <w:pPr>
        <w:pStyle w:val="Heading1"/>
        <w:spacing w:lineRule="auto" w:line="300" w:before="360" w:after="0"/>
        <w:ind w:hanging="0"/>
        <w:rPr>
          <w:rFonts w:ascii="Arial" w:hAnsi="Arial" w:cs="Arial"/>
          <w:b/>
          <w:color w:val="auto"/>
          <w:sz w:val="32"/>
          <w:szCs w:val="32"/>
        </w:rPr>
      </w:pPr>
      <w:bookmarkStart w:id="16" w:name="_Toc137194955"/>
      <w:r>
        <w:rPr>
          <w:rFonts w:cs="Arial" w:ascii="Arial" w:hAnsi="Arial"/>
          <w:b/>
          <w:color w:val="auto"/>
          <w:sz w:val="32"/>
          <w:szCs w:val="32"/>
        </w:rPr>
        <w:t>9. Kitos sąlygos</w:t>
      </w:r>
      <w:bookmarkEnd w:id="16"/>
      <w:r>
        <w:rPr>
          <w:rFonts w:cs="Arial" w:ascii="Arial" w:hAnsi="Arial"/>
          <w:b/>
          <w:color w:val="auto"/>
          <w:sz w:val="32"/>
          <w:szCs w:val="32"/>
        </w:rPr>
        <w:t xml:space="preserve"> </w:t>
      </w:r>
    </w:p>
    <w:p>
      <w:pPr>
        <w:pStyle w:val="NoSpacing"/>
        <w:spacing w:lineRule="auto" w:line="300" w:before="0" w:after="0"/>
        <w:ind w:hanging="0"/>
        <w:contextualSpacing/>
        <w:rPr>
          <w:rFonts w:ascii="Arial" w:hAnsi="Arial" w:eastAsia="Calibri" w:cs="Arial" w:eastAsiaTheme="minorHAnsi"/>
          <w:sz w:val="16"/>
          <w:szCs w:val="16"/>
        </w:rPr>
      </w:pPr>
      <w:r>
        <w:rPr>
          <w:rFonts w:eastAsia="Calibri" w:cs="Arial" w:eastAsiaTheme="minorHAnsi" w:ascii="Arial" w:hAnsi="Arial"/>
          <w:sz w:val="16"/>
          <w:szCs w:val="16"/>
        </w:rPr>
      </w:r>
    </w:p>
    <w:p>
      <w:pPr>
        <w:pStyle w:val="NoSpacing"/>
        <w:spacing w:lineRule="auto" w:line="300" w:before="0" w:after="0"/>
        <w:ind w:firstLine="567"/>
        <w:contextualSpacing/>
        <w:rPr>
          <w:rFonts w:ascii="Arial" w:hAnsi="Arial" w:eastAsia="Times New Roman" w:cs="Arial"/>
          <w:sz w:val="24"/>
          <w:szCs w:val="24"/>
        </w:rPr>
      </w:pPr>
      <w:r>
        <w:rPr>
          <w:rFonts w:eastAsia="Times New Roman" w:cs="Arial" w:ascii="Arial" w:hAnsi="Arial"/>
          <w:sz w:val="24"/>
          <w:szCs w:val="24"/>
        </w:rPr>
        <w:t>9.1. Perkančioji organizacija pirkime papildomų sąlygų netaiko.</w:t>
      </w:r>
    </w:p>
    <w:p>
      <w:pPr>
        <w:pStyle w:val="NoSpacing"/>
        <w:spacing w:lineRule="auto" w:line="300" w:before="0" w:after="0"/>
        <w:ind w:hanging="0"/>
        <w:contextualSpacing/>
        <w:jc w:val="center"/>
        <w:rPr>
          <w:rFonts w:ascii="Arial" w:hAnsi="Arial" w:eastAsia="Times New Roman" w:cs="Arial"/>
          <w:sz w:val="24"/>
          <w:szCs w:val="24"/>
        </w:rPr>
      </w:pPr>
      <w:r>
        <w:rPr>
          <w:rFonts w:eastAsia="Times New Roman" w:cs="Arial" w:ascii="Arial" w:hAnsi="Arial"/>
          <w:sz w:val="24"/>
          <w:szCs w:val="24"/>
        </w:rPr>
        <w:t>______________</w:t>
      </w:r>
      <w:r>
        <w:br w:type="page"/>
      </w:r>
    </w:p>
    <w:p>
      <w:pPr>
        <w:pStyle w:val="NoSpacing"/>
        <w:spacing w:before="0" w:after="0"/>
        <w:ind w:hanging="0" w:left="6930"/>
        <w:contextualSpacing/>
        <w:jc w:val="left"/>
        <w:rPr>
          <w:rFonts w:ascii="Arial" w:hAnsi="Arial" w:cs="Arial"/>
          <w:sz w:val="24"/>
          <w:szCs w:val="24"/>
        </w:rPr>
      </w:pPr>
      <w:r>
        <w:rPr>
          <w:rFonts w:cs="Arial" w:ascii="Arial" w:hAnsi="Arial"/>
          <w:sz w:val="24"/>
          <w:szCs w:val="24"/>
        </w:rPr>
        <w:t>Pirkimo sąlygų 1 priedas „Tiekėjų pašalinimo pagrindai“</w:t>
      </w:r>
    </w:p>
    <w:p>
      <w:pPr>
        <w:pStyle w:val="Normal"/>
        <w:keepNext w:val="true"/>
        <w:keepLines/>
        <w:spacing w:lineRule="auto" w:line="276" w:before="120" w:after="160"/>
        <w:ind w:firstLine="697" w:left="318"/>
        <w:jc w:val="right"/>
        <w:rPr>
          <w:rFonts w:ascii="Arial" w:hAnsi="Arial" w:eastAsia="Arial" w:cs="Arial"/>
          <w:color w:val="0070C0"/>
          <w:sz w:val="24"/>
          <w:szCs w:val="24"/>
        </w:rPr>
      </w:pPr>
      <w:r>
        <w:rPr>
          <w:rFonts w:eastAsia="Arial" w:cs="Arial" w:ascii="Arial" w:hAnsi="Arial"/>
          <w:color w:val="0070C0"/>
          <w:sz w:val="24"/>
          <w:szCs w:val="24"/>
        </w:rPr>
      </w:r>
    </w:p>
    <w:p>
      <w:pPr>
        <w:pStyle w:val="Normal"/>
        <w:spacing w:lineRule="auto" w:line="276" w:before="0" w:after="240"/>
        <w:ind w:hanging="0"/>
        <w:jc w:val="center"/>
        <w:rPr>
          <w:rFonts w:ascii="Arial" w:hAnsi="Arial" w:eastAsia="Arial" w:cs="Arial"/>
          <w:smallCaps/>
          <w:color w:val="404040"/>
          <w:sz w:val="28"/>
          <w:szCs w:val="28"/>
        </w:rPr>
      </w:pPr>
      <w:r>
        <w:rPr>
          <w:rFonts w:eastAsia="Arial" w:cs="Arial" w:ascii="Arial" w:hAnsi="Arial"/>
          <w:smallCaps/>
          <w:color w:val="404040"/>
          <w:sz w:val="28"/>
          <w:szCs w:val="28"/>
        </w:rPr>
        <w:t>TIEKĖJŲ PAŠALINIMO PAGRINDAI</w:t>
      </w:r>
    </w:p>
    <w:p>
      <w:pPr>
        <w:pStyle w:val="Normal"/>
        <w:spacing w:lineRule="auto" w:line="240"/>
        <w:ind w:firstLine="567"/>
        <w:rPr>
          <w:rFonts w:ascii="Arial" w:hAnsi="Arial" w:eastAsia="Arial" w:cs="Arial"/>
          <w:i/>
          <w:i/>
          <w:sz w:val="24"/>
          <w:szCs w:val="24"/>
        </w:rPr>
      </w:pPr>
      <w:r>
        <w:rPr>
          <w:rFonts w:eastAsia="Arial" w:cs="Arial" w:ascii="Arial" w:hAnsi="Arial"/>
          <w:i/>
          <w:sz w:val="24"/>
          <w:szCs w:val="24"/>
        </w:rPr>
        <w:t xml:space="preserve">Perkančioji organizacija atmeta tiekėjo pasiūlymą, jeigu: </w:t>
      </w:r>
    </w:p>
    <w:p>
      <w:pPr>
        <w:pStyle w:val="Normal"/>
        <w:spacing w:lineRule="auto" w:line="240"/>
        <w:ind w:firstLine="567"/>
        <w:rPr>
          <w:rFonts w:ascii="Arial" w:hAnsi="Arial" w:cs="Arial"/>
          <w:i/>
          <w:i/>
          <w:sz w:val="24"/>
          <w:szCs w:val="24"/>
        </w:rPr>
      </w:pPr>
      <w:r>
        <w:rPr>
          <w:rFonts w:eastAsia="Arial" w:cs="Arial" w:ascii="Arial" w:hAnsi="Arial"/>
          <w:i/>
          <w:sz w:val="24"/>
          <w:szCs w:val="24"/>
        </w:rPr>
        <w:t xml:space="preserve">1. </w:t>
      </w:r>
      <w:r>
        <w:rPr>
          <w:rFonts w:cs="Arial" w:ascii="Arial" w:hAnsi="Arial"/>
          <w:i/>
          <w:sz w:val="24"/>
          <w:szCs w:val="24"/>
        </w:rPr>
        <w:t>Tiekėjas su kitais tiekėjais yra sudaręs susitarimų, kuriais siekiama iškreipti konkurenciją atliekamame pirkime, ir perkančioji organizacija dėl to turi įtikinamų duomenų.</w:t>
      </w:r>
    </w:p>
    <w:p>
      <w:pPr>
        <w:pStyle w:val="Normal"/>
        <w:spacing w:lineRule="auto" w:line="240"/>
        <w:ind w:firstLine="567"/>
        <w:rPr>
          <w:rFonts w:ascii="Arial" w:hAnsi="Arial" w:cs="Arial"/>
          <w:b/>
          <w:i/>
          <w:i/>
          <w:color w:val="7030A0"/>
          <w:sz w:val="24"/>
          <w:szCs w:val="24"/>
        </w:rPr>
      </w:pPr>
      <w:r>
        <w:rPr>
          <w:rFonts w:eastAsia="Arial" w:cs="Arial" w:ascii="Arial" w:hAnsi="Arial"/>
          <w:i/>
          <w:sz w:val="24"/>
          <w:szCs w:val="24"/>
        </w:rPr>
        <w:t xml:space="preserve">2. </w:t>
      </w:r>
      <w:r>
        <w:rPr>
          <w:rFonts w:cs="Arial" w:ascii="Arial" w:hAnsi="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pPr>
        <w:pStyle w:val="Normal"/>
        <w:suppressAutoHyphens w:val="false"/>
        <w:spacing w:lineRule="auto" w:line="240"/>
        <w:ind w:firstLine="720"/>
        <w:rPr>
          <w:rFonts w:ascii="Arial" w:hAnsi="Arial" w:cs="Arial"/>
          <w:sz w:val="24"/>
          <w:szCs w:val="24"/>
        </w:rPr>
      </w:pPr>
      <w:r>
        <w:rPr>
          <w:rFonts w:eastAsia="Arial" w:cs="Arial" w:ascii="Arial" w:hAnsi="Arial"/>
          <w:sz w:val="24"/>
          <w:szCs w:val="24"/>
        </w:rPr>
        <w:t>3.</w:t>
      </w:r>
      <w:r>
        <w:rPr>
          <w:rFonts w:eastAsia="Arial" w:cs="Arial" w:ascii="Arial" w:hAnsi="Arial"/>
          <w:i/>
          <w:sz w:val="24"/>
          <w:szCs w:val="24"/>
        </w:rPr>
        <w:t xml:space="preserve"> </w:t>
      </w:r>
      <w:r>
        <w:rPr>
          <w:rFonts w:cs="Arial" w:ascii="Arial" w:hAnsi="Arial"/>
          <w:sz w:val="24"/>
          <w:szCs w:val="24"/>
        </w:rPr>
        <w:t xml:space="preserve">Pažeista konkurencija, kaip nustatyta VPĮ 27 straipsnio 3 ir 4 dalyse, ir atitinkamos padėties negalima ištaisyti. </w:t>
      </w:r>
    </w:p>
    <w:p>
      <w:pPr>
        <w:pStyle w:val="Normal"/>
        <w:suppressAutoHyphens w:val="false"/>
        <w:spacing w:lineRule="auto" w:line="240"/>
        <w:ind w:firstLine="720"/>
        <w:rPr>
          <w:rFonts w:ascii="Arial" w:hAnsi="Arial" w:cs="Arial"/>
          <w:sz w:val="24"/>
          <w:szCs w:val="24"/>
        </w:rPr>
      </w:pPr>
      <w:r>
        <w:rPr>
          <w:rFonts w:eastAsia="Arial" w:cs="Arial" w:ascii="Arial" w:hAnsi="Arial"/>
          <w:sz w:val="24"/>
          <w:szCs w:val="24"/>
        </w:rPr>
        <w:t>4.</w:t>
      </w:r>
      <w:r>
        <w:rPr>
          <w:rFonts w:eastAsia="Arial" w:cs="Arial" w:ascii="Arial" w:hAnsi="Arial"/>
          <w:i/>
          <w:sz w:val="24"/>
          <w:szCs w:val="24"/>
        </w:rPr>
        <w:t xml:space="preserve"> </w:t>
      </w:r>
      <w:r>
        <w:rPr>
          <w:rFonts w:cs="Arial" w:ascii="Arial" w:hAnsi="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pPr>
        <w:pStyle w:val="Normal"/>
        <w:suppressAutoHyphens w:val="false"/>
        <w:spacing w:lineRule="auto" w:line="240"/>
        <w:ind w:firstLine="720"/>
        <w:rPr>
          <w:rFonts w:ascii="Arial" w:hAnsi="Arial" w:eastAsia="Yu Mincho" w:cs="Arial"/>
          <w:b/>
          <w:bCs/>
          <w:iCs/>
          <w:sz w:val="24"/>
          <w:szCs w:val="24"/>
        </w:rPr>
      </w:pPr>
      <w:r>
        <w:rPr>
          <w:rFonts w:eastAsia="Arial" w:cs="Arial" w:ascii="Arial" w:hAnsi="Arial"/>
          <w:sz w:val="24"/>
          <w:szCs w:val="24"/>
        </w:rPr>
        <w:t>5.</w:t>
      </w:r>
      <w:r>
        <w:rPr>
          <w:rFonts w:cs="Arial" w:ascii="Arial" w:hAnsi="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pPr>
        <w:pStyle w:val="NoSpacing"/>
        <w:ind w:firstLine="567"/>
        <w:rPr>
          <w:rFonts w:ascii="Arial" w:hAnsi="Arial" w:eastAsia="Yu Mincho" w:cs="Arial"/>
          <w:b/>
          <w:bCs/>
          <w:iCs/>
          <w:sz w:val="24"/>
          <w:szCs w:val="24"/>
        </w:rPr>
      </w:pPr>
      <w:r>
        <w:rPr>
          <w:rFonts w:cs="Arial" w:ascii="Arial" w:hAnsi="Arial"/>
          <w:iCs/>
          <w:sz w:val="24"/>
          <w:szCs w:val="24"/>
        </w:rPr>
        <w:t xml:space="preserve">6. </w:t>
      </w:r>
      <w:r>
        <w:rPr>
          <w:rFonts w:cs="Arial" w:ascii="Arial" w:hAnsi="Arial"/>
          <w:i/>
          <w:iCs/>
          <w:sz w:val="24"/>
          <w:szCs w:val="24"/>
        </w:rPr>
        <w:t>Tiekėjas yra neatlikęs jam teismo sprendimu paskirtos baudžiamojo poveikio priemonės – uždraudimo juridiniam asmeniui dalyvauti viešuosiuose pirkimuose</w:t>
      </w:r>
      <w:r>
        <w:rPr>
          <w:rFonts w:cs="Arial" w:ascii="Arial" w:hAnsi="Arial"/>
          <w:iCs/>
          <w:sz w:val="24"/>
          <w:szCs w:val="24"/>
        </w:rPr>
        <w:t>.</w:t>
      </w:r>
    </w:p>
    <w:p>
      <w:pPr>
        <w:pStyle w:val="Normal"/>
        <w:spacing w:lineRule="auto" w:line="240"/>
        <w:ind w:firstLine="720"/>
        <w:rPr>
          <w:rFonts w:ascii="Arial" w:hAnsi="Arial" w:eastAsia="Arial" w:cs="Arial"/>
          <w:i/>
          <w:i/>
          <w:color w:val="7030A0"/>
          <w:sz w:val="24"/>
          <w:szCs w:val="24"/>
        </w:rPr>
      </w:pPr>
      <w:r>
        <w:rPr>
          <w:rFonts w:eastAsia="Arial" w:cs="Arial" w:ascii="Arial" w:hAnsi="Arial"/>
          <w:i/>
          <w:color w:val="7030A0"/>
          <w:sz w:val="24"/>
          <w:szCs w:val="24"/>
        </w:rPr>
      </w:r>
    </w:p>
    <w:p>
      <w:pPr>
        <w:pStyle w:val="Normal"/>
        <w:spacing w:lineRule="auto" w:line="240"/>
        <w:ind w:firstLine="720"/>
        <w:rPr>
          <w:rFonts w:ascii="Arial" w:hAnsi="Arial" w:eastAsia="Arial" w:cs="Arial"/>
          <w:i/>
          <w:i/>
          <w:color w:val="7030A0"/>
          <w:sz w:val="24"/>
          <w:szCs w:val="24"/>
        </w:rPr>
      </w:pPr>
      <w:r>
        <w:rPr>
          <w:rFonts w:eastAsia="Arial" w:cs="Arial" w:ascii="Arial" w:hAnsi="Arial"/>
          <w:i/>
          <w:color w:val="7030A0"/>
          <w:sz w:val="24"/>
          <w:szCs w:val="24"/>
        </w:rPr>
      </w:r>
    </w:p>
    <w:p>
      <w:pPr>
        <w:pStyle w:val="Normal"/>
        <w:spacing w:lineRule="auto" w:line="276" w:before="0" w:after="160"/>
        <w:ind w:hanging="0"/>
        <w:jc w:val="center"/>
        <w:rPr>
          <w:rFonts w:ascii="Arial" w:hAnsi="Arial" w:eastAsia="Arial" w:cs="Arial"/>
          <w:smallCaps/>
          <w:sz w:val="24"/>
          <w:szCs w:val="24"/>
        </w:rPr>
      </w:pPr>
      <w:r>
        <w:rPr>
          <w:rFonts w:eastAsia="Arial" w:cs="Arial" w:ascii="Arial" w:hAnsi="Arial"/>
          <w:smallCaps/>
          <w:sz w:val="24"/>
          <w:szCs w:val="24"/>
        </w:rPr>
        <w:t>__________</w:t>
      </w:r>
    </w:p>
    <w:p>
      <w:pPr>
        <w:pStyle w:val="Normal"/>
        <w:spacing w:lineRule="auto" w:line="196"/>
        <w:rPr>
          <w:rFonts w:ascii="Arial" w:hAnsi="Arial" w:eastAsia="Arial" w:cs="Arial"/>
          <w:sz w:val="24"/>
          <w:szCs w:val="24"/>
        </w:rPr>
      </w:pPr>
      <w:r>
        <w:rPr>
          <w:rFonts w:eastAsia="Arial" w:cs="Arial" w:ascii="Arial" w:hAnsi="Arial"/>
          <w:sz w:val="24"/>
          <w:szCs w:val="24"/>
        </w:rPr>
      </w:r>
      <w:r>
        <w:br w:type="page"/>
      </w:r>
    </w:p>
    <w:p>
      <w:pPr>
        <w:pStyle w:val="Normal"/>
        <w:spacing w:lineRule="auto" w:line="240" w:before="0" w:after="0"/>
        <w:ind w:hanging="0" w:left="6210"/>
        <w:jc w:val="left"/>
        <w:rPr>
          <w:rFonts w:ascii="Arial" w:hAnsi="Arial" w:cs="Arial"/>
          <w:sz w:val="24"/>
          <w:szCs w:val="24"/>
        </w:rPr>
      </w:pPr>
      <w:r>
        <w:rPr>
          <w:rFonts w:cs="Arial" w:ascii="Arial" w:hAnsi="Arial"/>
          <w:sz w:val="24"/>
          <w:szCs w:val="24"/>
        </w:rPr>
        <w:t>Pirkimo sąlygų 2 priedas „Tiekėjų kvalifikacijos reikalavimai ir reikalaujami kokybės bei aplinkos apsaugos vadybos sistemų standartai“</w:t>
      </w:r>
    </w:p>
    <w:p>
      <w:pPr>
        <w:pStyle w:val="Normal"/>
        <w:spacing w:before="0" w:after="240"/>
        <w:rPr>
          <w:rFonts w:ascii="Arial" w:hAnsi="Arial" w:cs="Arial"/>
          <w:smallCaps/>
          <w:color w:val="404040"/>
          <w:sz w:val="24"/>
          <w:szCs w:val="24"/>
        </w:rPr>
      </w:pPr>
      <w:r>
        <w:rPr>
          <w:rFonts w:cs="Arial" w:ascii="Arial" w:hAnsi="Arial"/>
          <w:smallCaps/>
          <w:color w:val="404040"/>
          <w:sz w:val="24"/>
          <w:szCs w:val="24"/>
        </w:rPr>
      </w:r>
    </w:p>
    <w:p>
      <w:pPr>
        <w:pStyle w:val="Normal"/>
        <w:spacing w:lineRule="auto" w:line="240" w:before="0" w:after="240"/>
        <w:ind w:hanging="0"/>
        <w:jc w:val="center"/>
        <w:rPr>
          <w:rFonts w:ascii="Arial" w:hAnsi="Arial" w:eastAsia="Arial" w:cs="Arial"/>
          <w:smallCaps/>
          <w:color w:val="404040"/>
          <w:sz w:val="28"/>
          <w:szCs w:val="28"/>
        </w:rPr>
      </w:pPr>
      <w:r>
        <w:rPr>
          <w:rFonts w:eastAsia="Arial" w:cs="Arial" w:ascii="Arial" w:hAnsi="Arial"/>
          <w:smallCaps/>
          <w:color w:val="404040"/>
          <w:sz w:val="28"/>
          <w:szCs w:val="28"/>
        </w:rPr>
        <w:t>TIEKĖJŲ KVALIFIKACIJOS REIKALAVIMAI IR REIKALAVIMAI LAIKYTIS KOKYBĖS VADYBOS SISTEMOS IR (ARBA) APLINKOS APSAUGOS VADYBOS SISTEMOS STANDARTŲ</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before="0" w:after="0"/>
        <w:ind w:firstLine="562"/>
        <w:contextualSpacing/>
        <w:rPr>
          <w:rFonts w:ascii="Arial" w:hAnsi="Arial" w:eastAsia="Times New Roman" w:cs="Arial"/>
          <w:sz w:val="24"/>
          <w:szCs w:val="24"/>
        </w:rPr>
      </w:pPr>
      <w:r>
        <w:rPr>
          <w:rFonts w:eastAsia="Calibri" w:cs="Arial" w:ascii="Arial" w:hAnsi="Arial"/>
          <w:sz w:val="24"/>
          <w:szCs w:val="24"/>
          <w:lang w:eastAsia="en-US"/>
        </w:rPr>
        <w:t>1. Tiekėjo kvalifikacija turi atitikti šiame priede nustatytus reikalavimus kvalifikacijai. Reikalaujamą kvalifikaciją tiekėjai (ar jų personalas) privalo būti įgiję iki pasiūlymų pateikimo termino pabaigos.</w:t>
      </w:r>
    </w:p>
    <w:p>
      <w:pPr>
        <w:pStyle w:val="Normal"/>
        <w:spacing w:lineRule="auto" w:line="240" w:before="0" w:after="0"/>
        <w:ind w:firstLine="562"/>
        <w:contextualSpacing/>
        <w:rPr>
          <w:rFonts w:ascii="Arial" w:hAnsi="Arial" w:eastAsia="Times New Roman" w:cs="Arial"/>
          <w:sz w:val="24"/>
          <w:szCs w:val="24"/>
        </w:rPr>
      </w:pPr>
      <w:r>
        <w:rPr>
          <w:rFonts w:eastAsia="Calibri" w:cs="Arial" w:ascii="Arial" w:hAnsi="Arial"/>
          <w:sz w:val="24"/>
          <w:szCs w:val="24"/>
        </w:rPr>
        <w:t xml:space="preserve">2. </w:t>
      </w:r>
      <w:r>
        <w:rPr>
          <w:rFonts w:eastAsia="Calibri" w:cs="Arial" w:ascii="Arial" w:hAnsi="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r>
        <w:rPr/>
        <w:t xml:space="preserve"> </w:t>
      </w:r>
    </w:p>
    <w:p>
      <w:pPr>
        <w:pStyle w:val="Normal"/>
        <w:spacing w:lineRule="auto" w:line="240" w:before="0" w:after="0"/>
        <w:ind w:firstLine="562"/>
        <w:contextualSpacing/>
        <w:rPr>
          <w:rFonts w:ascii="Arial" w:hAnsi="Arial" w:eastAsia="Times New Roman" w:cs="Arial"/>
          <w:sz w:val="24"/>
          <w:szCs w:val="24"/>
        </w:rPr>
      </w:pPr>
      <w:r>
        <w:rPr>
          <w:rFonts w:eastAsia="Calibri" w:cs="Arial" w:ascii="Arial" w:hAnsi="Arial"/>
          <w:sz w:val="24"/>
          <w:szCs w:val="24"/>
          <w:lang w:eastAsia="en-US"/>
        </w:rPr>
        <w:t>3.</w:t>
      </w:r>
      <w:r>
        <w:rPr>
          <w:rFonts w:eastAsia="Calibri" w:cs="Arial" w:ascii="Arial" w:hAnsi="Arial"/>
          <w:i/>
          <w:iCs/>
          <w:sz w:val="24"/>
          <w:szCs w:val="24"/>
        </w:rPr>
        <w:t xml:space="preserve"> </w:t>
      </w:r>
      <w:r>
        <w:rPr>
          <w:rFonts w:eastAsia="Times New Roman" w:cs="Arial" w:ascii="Arial" w:hAnsi="Arial"/>
          <w:sz w:val="24"/>
          <w:szCs w:val="24"/>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Normal"/>
        <w:spacing w:lineRule="auto" w:line="240" w:before="0" w:after="0"/>
        <w:ind w:firstLine="562"/>
        <w:contextualSpacing/>
        <w:rPr>
          <w:rFonts w:ascii="Arial" w:hAnsi="Arial" w:eastAsia="Times New Roman" w:cs="Arial"/>
          <w:sz w:val="24"/>
          <w:szCs w:val="24"/>
        </w:rPr>
      </w:pPr>
      <w:r>
        <w:rPr>
          <w:rFonts w:eastAsia="Times New Roman" w:cs="Arial" w:ascii="Arial" w:hAnsi="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Normal"/>
        <w:spacing w:lineRule="auto" w:line="240" w:before="0" w:after="0"/>
        <w:ind w:firstLine="562"/>
        <w:contextualSpacing/>
        <w:rPr>
          <w:rFonts w:ascii="Arial" w:hAnsi="Arial" w:eastAsia="Times New Roman" w:cs="Arial"/>
          <w:sz w:val="24"/>
          <w:szCs w:val="24"/>
        </w:rPr>
      </w:pPr>
      <w:r>
        <w:rPr>
          <w:rFonts w:eastAsia="Times New Roman" w:cs="Arial" w:ascii="Arial" w:hAnsi="Arial"/>
          <w:sz w:val="24"/>
          <w:szCs w:val="24"/>
        </w:rPr>
        <w:t xml:space="preserve">5. Perkančioji organizacija dokumentų, patvirtinančių tiekėjo atitiktį kvalifikacijos reikalavimams (išskyrus kartu su pasiūlymu reikalaujamus pateikti dokumentus) ir aplinkos apsaugos vadybos sistemos standartams, reikalaus </w:t>
      </w:r>
      <w:r>
        <w:rPr>
          <w:rFonts w:eastAsia="Times New Roman" w:cs="Arial" w:ascii="Arial" w:hAnsi="Arial"/>
          <w:sz w:val="24"/>
          <w:szCs w:val="24"/>
          <w:u w:val="single"/>
        </w:rPr>
        <w:t>tik iš ekonomiškai naudingiausią pasiūlymą pateikusio dalyvio</w:t>
      </w:r>
      <w:r>
        <w:rPr>
          <w:rFonts w:eastAsia="Times New Roman" w:cs="Arial" w:ascii="Arial" w:hAnsi="Arial"/>
          <w:sz w:val="24"/>
          <w:szCs w:val="24"/>
        </w:rPr>
        <w:t>.</w:t>
      </w:r>
    </w:p>
    <w:p>
      <w:pPr>
        <w:pStyle w:val="ListParagraph"/>
        <w:spacing w:lineRule="auto" w:line="240"/>
        <w:ind w:firstLine="567" w:left="0"/>
        <w:rPr>
          <w:rFonts w:ascii="Arial" w:hAnsi="Arial" w:eastAsia="Calibri" w:cs="Arial"/>
          <w:sz w:val="24"/>
          <w:szCs w:val="24"/>
          <w:lang w:eastAsia="en-US"/>
        </w:rPr>
      </w:pPr>
      <w:r>
        <w:rPr>
          <w:rFonts w:eastAsia="Calibri" w:cs="Arial" w:ascii="Arial" w:hAnsi="Arial"/>
          <w:sz w:val="24"/>
          <w:szCs w:val="24"/>
          <w:lang w:eastAsia="en-US"/>
        </w:rPr>
      </w:r>
    </w:p>
    <w:tbl>
      <w:tblPr>
        <w:tblStyle w:val="Lentelstinklelis"/>
        <w:tblW w:w="1072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83"/>
        <w:gridCol w:w="3462"/>
        <w:gridCol w:w="3436"/>
        <w:gridCol w:w="3240"/>
      </w:tblGrid>
      <w:tr>
        <w:trPr/>
        <w:tc>
          <w:tcPr>
            <w:tcW w:w="583"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Eil. Nr.</w:t>
            </w:r>
          </w:p>
        </w:tc>
        <w:tc>
          <w:tcPr>
            <w:tcW w:w="3462"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Kvalifikacijos reikalavimas</w:t>
            </w:r>
          </w:p>
        </w:tc>
        <w:tc>
          <w:tcPr>
            <w:tcW w:w="3436"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Atitiktį reikalavimui įrodantys dokumentai</w:t>
            </w:r>
          </w:p>
        </w:tc>
        <w:tc>
          <w:tcPr>
            <w:tcW w:w="3240" w:type="dxa"/>
            <w:tcBorders/>
            <w:shd w:color="auto" w:fill="DEEAF6" w:themeFill="accent5" w:themeFillTint="33" w:val="clear"/>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Subjektas, kuris turi atitikti reikalavimą</w:t>
            </w:r>
          </w:p>
        </w:tc>
      </w:tr>
      <w:tr>
        <w:trPr/>
        <w:tc>
          <w:tcPr>
            <w:tcW w:w="583" w:type="dxa"/>
            <w:tcBorders/>
          </w:tcPr>
          <w:p>
            <w:pPr>
              <w:pStyle w:val="Normal"/>
              <w:widowControl/>
              <w:suppressAutoHyphens w:val="true"/>
              <w:spacing w:lineRule="auto" w:line="240" w:before="0" w:after="0"/>
              <w:ind w:hanging="0"/>
              <w:jc w:val="center"/>
              <w:rPr>
                <w:rFonts w:ascii="Arial" w:hAnsi="Arial" w:eastAsia="Calibri" w:cs="Arial" w:eastAsiaTheme="minorHAnsi"/>
                <w:b/>
                <w:bCs/>
                <w:sz w:val="22"/>
                <w:szCs w:val="22"/>
              </w:rPr>
            </w:pPr>
            <w:r>
              <w:rPr>
                <w:rFonts w:eastAsia="Calibri" w:cs="Arial" w:ascii="Arial" w:hAnsi="Arial" w:eastAsiaTheme="minorHAnsi"/>
                <w:b/>
                <w:bCs/>
                <w:kern w:val="0"/>
                <w:sz w:val="22"/>
                <w:szCs w:val="22"/>
                <w:lang w:val="lt-LT" w:eastAsia="en-US" w:bidi="ar-SA"/>
              </w:rPr>
              <w:t>1.</w:t>
            </w:r>
          </w:p>
        </w:tc>
        <w:tc>
          <w:tcPr>
            <w:tcW w:w="10138" w:type="dxa"/>
            <w:gridSpan w:val="3"/>
            <w:tcBorders/>
            <w:shd w:color="auto" w:fill="auto" w:val="clear"/>
          </w:tcPr>
          <w:p>
            <w:pPr>
              <w:pStyle w:val="Normal"/>
              <w:widowControl w:val="false"/>
              <w:suppressAutoHyphens w:val="true"/>
              <w:spacing w:lineRule="auto" w:line="240" w:before="0" w:after="0"/>
              <w:ind w:hanging="0"/>
              <w:rPr>
                <w:rFonts w:ascii="Arial" w:hAnsi="Arial" w:cs="Arial"/>
                <w:color w:val="000000"/>
                <w:sz w:val="22"/>
                <w:szCs w:val="22"/>
              </w:rPr>
            </w:pPr>
            <w:r>
              <w:rPr>
                <w:rFonts w:eastAsia="Calibri" w:cs="Arial" w:ascii="Arial" w:hAnsi="Arial" w:eastAsiaTheme="minorHAnsi"/>
                <w:b/>
                <w:bCs/>
                <w:kern w:val="0"/>
                <w:sz w:val="22"/>
                <w:szCs w:val="22"/>
                <w:lang w:val="lt-LT" w:eastAsia="en-US" w:bidi="ar-SA"/>
              </w:rPr>
              <w:t>Techninis ir profesinis pajėgumas</w:t>
            </w:r>
          </w:p>
        </w:tc>
      </w:tr>
      <w:tr>
        <w:trPr/>
        <w:tc>
          <w:tcPr>
            <w:tcW w:w="583" w:type="dxa"/>
            <w:tcBorders/>
          </w:tcPr>
          <w:p>
            <w:pPr>
              <w:pStyle w:val="Normal"/>
              <w:widowControl/>
              <w:suppressAutoHyphens w:val="true"/>
              <w:spacing w:lineRule="auto" w:line="240" w:before="0" w:after="0"/>
              <w:ind w:hanging="0"/>
              <w:jc w:val="center"/>
              <w:rPr>
                <w:rFonts w:ascii="Arial" w:hAnsi="Arial" w:eastAsia="Calibri" w:cs="Arial" w:eastAsiaTheme="minorHAnsi"/>
                <w:bCs/>
                <w:sz w:val="22"/>
                <w:szCs w:val="22"/>
              </w:rPr>
            </w:pPr>
            <w:r>
              <w:rPr>
                <w:rFonts w:eastAsia="Calibri" w:cs="Arial" w:ascii="Arial" w:hAnsi="Arial" w:eastAsiaTheme="minorHAnsi"/>
                <w:bCs/>
                <w:kern w:val="0"/>
                <w:sz w:val="22"/>
                <w:szCs w:val="22"/>
                <w:lang w:val="lt-LT" w:eastAsia="en-US" w:bidi="ar-SA"/>
              </w:rPr>
              <w:t>1.1.</w:t>
            </w:r>
          </w:p>
        </w:tc>
        <w:tc>
          <w:tcPr>
            <w:tcW w:w="3462" w:type="dxa"/>
            <w:tcBorders/>
            <w:shd w:color="auto" w:fill="auto" w:val="clear"/>
          </w:tcPr>
          <w:p>
            <w:pPr>
              <w:pStyle w:val="Normal"/>
              <w:widowControl/>
              <w:tabs>
                <w:tab w:val="clear" w:pos="397"/>
                <w:tab w:val="left" w:pos="300" w:leader="none"/>
              </w:tabs>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en-US" w:bidi="ar-SA"/>
              </w:rPr>
              <w:t xml:space="preserve">Tiekėjas privalo turėti bent  1 (vieną) specialistą, </w:t>
            </w:r>
            <w:r>
              <w:rPr>
                <w:rFonts w:eastAsia="" w:cs="Arial" w:ascii="Arial" w:hAnsi="Arial"/>
                <w:kern w:val="0"/>
                <w:sz w:val="22"/>
                <w:szCs w:val="22"/>
                <w:lang w:val="lt-LT" w:eastAsia="en-US" w:bidi="ar-SA"/>
              </w:rPr>
              <w:t xml:space="preserve">turintį teisę rengti specialiojo </w:t>
            </w:r>
            <w:r>
              <w:rPr>
                <w:rFonts w:eastAsia="" w:cs="Arial" w:ascii="Arial" w:hAnsi="Arial"/>
                <w:kern w:val="0"/>
                <w:sz w:val="22"/>
                <w:szCs w:val="22"/>
                <w:lang w:val="lt-LT" w:eastAsia="en-US" w:bidi="ar-SA"/>
              </w:rPr>
              <w:t xml:space="preserve">teritorijų </w:t>
            </w:r>
            <w:r>
              <w:rPr>
                <w:rFonts w:eastAsia="" w:cs="Arial" w:ascii="Arial" w:hAnsi="Arial"/>
                <w:kern w:val="0"/>
                <w:sz w:val="22"/>
                <w:szCs w:val="22"/>
                <w:lang w:val="lt-LT" w:eastAsia="en-US" w:bidi="ar-SA"/>
              </w:rPr>
              <w:t>planavimo dokumentus,</w:t>
            </w:r>
            <w:r>
              <w:rPr>
                <w:rFonts w:eastAsia="" w:cs="Arial" w:ascii="Arial" w:hAnsi="Arial"/>
                <w:kern w:val="0"/>
                <w:sz w:val="22"/>
                <w:szCs w:val="22"/>
                <w:lang w:val="lt-LT" w:eastAsia="en-US" w:bidi="ar-SA"/>
              </w:rPr>
              <w:t xml:space="preserve"> kuris per pastaruosius 3 metus  iki pasiūlymų pateikimo termino pabaigos yra vadovavęs  bent vieno gyvenamųjų vietovių ar seniūnijų ribų nustatymo ar keitimo plano rengimui ir/ar keitimui.</w:t>
            </w:r>
          </w:p>
        </w:tc>
        <w:tc>
          <w:tcPr>
            <w:tcW w:w="3436" w:type="dxa"/>
            <w:tcBorders/>
            <w:shd w:color="auto" w:fill="auto" w:val="clear"/>
          </w:tcPr>
          <w:p>
            <w:pPr>
              <w:pStyle w:val="Normal"/>
              <w:widowControl/>
              <w:tabs>
                <w:tab w:val="clear" w:pos="397"/>
                <w:tab w:val="left" w:pos="36" w:leader="none"/>
              </w:tabs>
              <w:suppressAutoHyphens w:val="true"/>
              <w:spacing w:lineRule="auto" w:line="240" w:before="0" w:after="0"/>
              <w:ind w:hanging="0"/>
              <w:rPr>
                <w:rFonts w:ascii="Arial" w:hAnsi="Arial" w:cs="Arial"/>
                <w:color w:val="000000"/>
                <w:sz w:val="22"/>
                <w:szCs w:val="22"/>
                <w:lang w:eastAsia="ar-SA"/>
              </w:rPr>
            </w:pPr>
            <w:r>
              <w:rPr>
                <w:rFonts w:eastAsia="" w:cs="Arial" w:ascii="Arial" w:hAnsi="Arial"/>
                <w:color w:val="000000"/>
                <w:kern w:val="0"/>
                <w:sz w:val="22"/>
                <w:szCs w:val="22"/>
                <w:lang w:val="lt-LT" w:eastAsia="ar-SA" w:bidi="ar-SA"/>
              </w:rPr>
              <w:t>Pateikiama:</w:t>
            </w:r>
          </w:p>
          <w:p>
            <w:pPr>
              <w:pStyle w:val="Normal"/>
              <w:widowControl/>
              <w:tabs>
                <w:tab w:val="clear" w:pos="397"/>
                <w:tab w:val="left" w:pos="36" w:leader="none"/>
              </w:tabs>
              <w:suppressAutoHyphens w:val="true"/>
              <w:spacing w:lineRule="auto" w:line="240" w:before="0" w:after="0"/>
              <w:ind w:hanging="0"/>
              <w:rPr>
                <w:rFonts w:ascii="Arial" w:hAnsi="Arial" w:cs="Arial"/>
                <w:sz w:val="22"/>
                <w:szCs w:val="22"/>
                <w:lang w:eastAsia="ar-SA"/>
              </w:rPr>
            </w:pPr>
            <w:r>
              <w:rPr>
                <w:rFonts w:eastAsia="" w:cs="Arial" w:ascii="Arial" w:hAnsi="Arial"/>
                <w:color w:val="000000"/>
                <w:kern w:val="0"/>
                <w:sz w:val="22"/>
                <w:szCs w:val="22"/>
                <w:lang w:val="lt-LT" w:eastAsia="ar-SA" w:bidi="ar-SA"/>
              </w:rPr>
              <w:t>1. Siūlomų specialistų sąrašas (</w:t>
            </w:r>
            <w:r>
              <w:rPr>
                <w:rFonts w:eastAsia="" w:cs="Arial" w:ascii="Arial" w:hAnsi="Arial"/>
                <w:kern w:val="0"/>
                <w:sz w:val="22"/>
                <w:szCs w:val="22"/>
                <w:lang w:val="lt-LT" w:eastAsia="ar-SA" w:bidi="ar-SA"/>
              </w:rPr>
              <w:t xml:space="preserve">Pirkimo sąlygų </w:t>
            </w:r>
            <w:r>
              <w:rPr>
                <w:rFonts w:eastAsia="" w:cs="Arial" w:ascii="Arial" w:hAnsi="Arial"/>
                <w:kern w:val="0"/>
                <w:sz w:val="22"/>
                <w:szCs w:val="22"/>
                <w:lang w:val="lt-LT" w:eastAsia="ar-SA" w:bidi="ar-SA"/>
              </w:rPr>
              <w:t>7</w:t>
            </w:r>
            <w:r>
              <w:rPr>
                <w:rFonts w:eastAsia="" w:cs="Arial" w:ascii="Arial" w:hAnsi="Arial"/>
                <w:kern w:val="0"/>
                <w:sz w:val="22"/>
                <w:szCs w:val="22"/>
                <w:lang w:val="lt-LT" w:eastAsia="ar-SA" w:bidi="ar-SA"/>
              </w:rPr>
              <w:t xml:space="preserve"> priedas);</w:t>
            </w:r>
          </w:p>
          <w:p>
            <w:pPr>
              <w:pStyle w:val="Normal"/>
              <w:widowControl/>
              <w:tabs>
                <w:tab w:val="clear" w:pos="397"/>
                <w:tab w:val="left" w:pos="36" w:leader="none"/>
              </w:tabs>
              <w:suppressAutoHyphens w:val="true"/>
              <w:spacing w:lineRule="auto" w:line="240" w:before="0" w:after="0"/>
              <w:ind w:hanging="0"/>
              <w:rPr>
                <w:rFonts w:ascii="Arial" w:hAnsi="Arial" w:cs="Arial"/>
                <w:sz w:val="22"/>
                <w:szCs w:val="22"/>
                <w:lang w:eastAsia="ar-SA"/>
              </w:rPr>
            </w:pPr>
            <w:r>
              <w:rPr>
                <w:rFonts w:eastAsia="" w:cs="Arial" w:ascii="Arial" w:hAnsi="Arial"/>
                <w:kern w:val="0"/>
                <w:sz w:val="22"/>
                <w:szCs w:val="22"/>
                <w:lang w:val="lt-LT" w:eastAsia="ar-SA" w:bidi="ar-SA"/>
              </w:rPr>
              <w:t xml:space="preserve">2. </w:t>
            </w:r>
            <w:r>
              <w:rPr>
                <w:rFonts w:cs="Arial" w:ascii="Arial" w:hAnsi="Arial"/>
                <w:sz w:val="22"/>
                <w:szCs w:val="22"/>
                <w:lang w:eastAsia="ar-SA"/>
              </w:rPr>
              <w:t xml:space="preserve">Teritorijų planavimo vadovo atestato, suteikiančio teisę atlikti specialiojo teritorijų planavimo dokumentų rengimą, </w:t>
            </w:r>
            <w:r>
              <w:rPr>
                <w:rFonts w:cs="Arial" w:ascii="Arial" w:hAnsi="Arial"/>
                <w:sz w:val="22"/>
                <w:szCs w:val="22"/>
                <w:lang w:eastAsia="ar-SA"/>
              </w:rPr>
              <w:t>kopja arba nuoroda į informaciją apie dokumentą</w:t>
            </w:r>
            <w:r>
              <w:rPr>
                <w:rFonts w:cs="Arial" w:ascii="Arial" w:hAnsi="Arial"/>
                <w:sz w:val="22"/>
                <w:szCs w:val="22"/>
                <w:lang w:eastAsia="ar-SA"/>
              </w:rPr>
              <w:t xml:space="preserve">. </w:t>
            </w:r>
          </w:p>
          <w:p>
            <w:pPr>
              <w:pStyle w:val="Normal"/>
              <w:widowControl/>
              <w:tabs>
                <w:tab w:val="clear" w:pos="397"/>
                <w:tab w:val="left" w:pos="36" w:leader="none"/>
              </w:tabs>
              <w:suppressAutoHyphens w:val="true"/>
              <w:spacing w:lineRule="auto" w:line="240" w:before="0" w:after="0"/>
              <w:ind w:hanging="0"/>
              <w:rPr>
                <w:rFonts w:ascii="Arial" w:hAnsi="Arial" w:cs="Arial"/>
                <w:color w:val="000000"/>
                <w:sz w:val="22"/>
                <w:szCs w:val="22"/>
                <w:lang w:eastAsia="ar-SA"/>
              </w:rPr>
            </w:pPr>
            <w:r>
              <w:rPr>
                <w:rFonts w:eastAsia="" w:cs="Arial" w:ascii="Arial" w:hAnsi="Arial"/>
                <w:color w:val="000000"/>
                <w:kern w:val="0"/>
                <w:sz w:val="22"/>
                <w:szCs w:val="22"/>
                <w:lang w:val="lt-LT" w:eastAsia="ar-SA" w:bidi="ar-SA"/>
              </w:rPr>
              <w:t>3</w:t>
            </w:r>
            <w:r>
              <w:rPr>
                <w:rFonts w:eastAsia="" w:cs="Arial" w:ascii="Arial" w:hAnsi="Arial"/>
                <w:color w:val="000000"/>
                <w:kern w:val="0"/>
                <w:sz w:val="22"/>
                <w:szCs w:val="22"/>
                <w:lang w:val="lt-LT" w:eastAsia="ar-SA" w:bidi="ar-SA"/>
              </w:rPr>
              <w:t>.</w:t>
              <w:tab/>
              <w:t xml:space="preserve"> Specialisto (-ų) darbo patirtį įrodančių dokumentų kopijos, kuriuose būtų nurodyta informacija apie siūlomo specialisto patirtį vadovaujant gyvenamųjų vietovių ar seniūnijų ribų nustatymo ar keitimo plano rengimui ir/ar keitimui (pateikiamas vykdytų sutarčių (suteiktų paslaugų) sąrašas kartu su užsakovų pažymomis, kuriose nurodoma kokių teritorijų planavimo dokumentų rengimui specialistas vadovavo ir </w:t>
            </w:r>
            <w:bookmarkStart w:id="17" w:name="_GoBack"/>
            <w:bookmarkEnd w:id="17"/>
            <w:r>
              <w:rPr>
                <w:rFonts w:eastAsia="" w:cs="Arial" w:ascii="Arial" w:hAnsi="Arial"/>
                <w:color w:val="000000"/>
                <w:kern w:val="0"/>
                <w:sz w:val="22"/>
                <w:szCs w:val="22"/>
                <w:lang w:val="lt-LT" w:eastAsia="ar-SA" w:bidi="ar-SA"/>
              </w:rPr>
              <w:t>ar paslaugas suteikė tinkamai).</w:t>
            </w:r>
          </w:p>
          <w:p>
            <w:pPr>
              <w:pStyle w:val="Normal"/>
              <w:widowControl/>
              <w:tabs>
                <w:tab w:val="clear" w:pos="397"/>
                <w:tab w:val="left" w:pos="36" w:leader="none"/>
              </w:tabs>
              <w:suppressAutoHyphens w:val="true"/>
              <w:spacing w:lineRule="auto" w:line="240" w:before="0" w:after="0"/>
              <w:ind w:hanging="0"/>
              <w:rPr>
                <w:rFonts w:ascii="Arial" w:hAnsi="Arial" w:cs="Arial"/>
                <w:color w:val="000000"/>
                <w:sz w:val="22"/>
                <w:szCs w:val="22"/>
                <w:lang w:eastAsia="ar-SA"/>
              </w:rPr>
            </w:pPr>
            <w:r>
              <w:rPr>
                <w:rFonts w:eastAsia="" w:cs="Arial" w:ascii="Arial" w:hAnsi="Arial"/>
                <w:color w:val="000000"/>
                <w:kern w:val="0"/>
                <w:sz w:val="22"/>
                <w:szCs w:val="22"/>
                <w:lang w:val="lt-LT" w:eastAsia="ar-SA" w:bidi="ar-SA"/>
              </w:rPr>
              <w:t>4</w:t>
            </w:r>
            <w:r>
              <w:rPr>
                <w:rFonts w:eastAsia="" w:cs="Arial" w:ascii="Arial" w:hAnsi="Arial"/>
                <w:color w:val="000000"/>
                <w:kern w:val="0"/>
                <w:sz w:val="22"/>
                <w:szCs w:val="22"/>
                <w:lang w:val="lt-LT" w:eastAsia="ar-SA" w:bidi="ar-SA"/>
              </w:rPr>
              <w:t>. Dokumentas, kuriame specialistas įsipareigoja vykdyti pirkimo sutartį (tais atvejais, kai specialistas pasiūlymo pateikimo metu nėra Tiekėjo darbuotojas).</w:t>
            </w:r>
          </w:p>
          <w:p>
            <w:pPr>
              <w:pStyle w:val="Normal"/>
              <w:widowControl/>
              <w:tabs>
                <w:tab w:val="clear" w:pos="397"/>
                <w:tab w:val="left" w:pos="36" w:leader="none"/>
              </w:tabs>
              <w:suppressAutoHyphens w:val="true"/>
              <w:spacing w:lineRule="auto" w:line="240" w:before="0" w:after="0"/>
              <w:ind w:hanging="0"/>
              <w:rPr>
                <w:rFonts w:ascii="Arial" w:hAnsi="Arial" w:cs="Arial"/>
                <w:color w:val="000000"/>
                <w:sz w:val="22"/>
                <w:szCs w:val="22"/>
                <w:lang w:eastAsia="ar-SA"/>
              </w:rPr>
            </w:pPr>
            <w:r>
              <w:rPr>
                <w:rFonts w:eastAsia="" w:cs="Arial" w:ascii="Arial" w:hAnsi="Arial"/>
                <w:color w:val="000000"/>
                <w:kern w:val="0"/>
                <w:sz w:val="22"/>
                <w:szCs w:val="22"/>
                <w:lang w:val="lt-LT" w:eastAsia="ar-SA" w:bidi="ar-SA"/>
              </w:rPr>
            </w:r>
          </w:p>
          <w:p>
            <w:pPr>
              <w:pStyle w:val="Normal"/>
              <w:widowControl/>
              <w:tabs>
                <w:tab w:val="clear" w:pos="397"/>
                <w:tab w:val="left" w:pos="36" w:leader="none"/>
              </w:tabs>
              <w:suppressAutoHyphens w:val="true"/>
              <w:spacing w:lineRule="auto" w:line="240" w:before="0" w:after="0"/>
              <w:ind w:hanging="0"/>
              <w:rPr>
                <w:rFonts w:ascii="Arial" w:hAnsi="Arial" w:cs="Arial"/>
                <w:color w:val="000000"/>
                <w:sz w:val="22"/>
                <w:szCs w:val="22"/>
                <w:lang w:eastAsia="ar-SA"/>
              </w:rPr>
            </w:pPr>
            <w:r>
              <w:rPr>
                <w:rFonts w:eastAsia="" w:cs="Arial" w:ascii="Arial" w:hAnsi="Arial"/>
                <w:color w:val="000000"/>
                <w:kern w:val="0"/>
                <w:sz w:val="22"/>
                <w:szCs w:val="22"/>
                <w:lang w:val="lt-LT" w:eastAsia="ar-SA" w:bidi="ar-SA"/>
              </w:rPr>
              <w:t>Pateikiamos skaitmeninės dokumentų kopijos.</w:t>
            </w:r>
          </w:p>
        </w:tc>
        <w:tc>
          <w:tcPr>
            <w:tcW w:w="3240" w:type="dxa"/>
            <w:tcBorders/>
          </w:tcPr>
          <w:p>
            <w:pPr>
              <w:pStyle w:val="Normal"/>
              <w:widowControl w:val="false"/>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en-US" w:bidi="ar-SA"/>
              </w:rPr>
              <w:t>Jeigu pasiūlymą teikia ūkio subjektų grupė – reikalavimą turi atitikti ūkio subjektų grupės nario (-ių) specialistai, atsižvelgiant į jų prisiimamus įsipareigojimus pirkimo sutarčiai vykdyti.</w:t>
            </w:r>
          </w:p>
          <w:p>
            <w:pPr>
              <w:pStyle w:val="Normal"/>
              <w:widowControl w:val="false"/>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en-US" w:bidi="ar-SA"/>
              </w:rPr>
              <w:t>Tiekėjas gali remtis kitų ūkio subjektų pajėgumais tik tuo atveju, jeigu tie subjektai (jų darbuotojai) patys vykdys tą pirkimo sutarties dalį, kuriai reikia jų turimų pajėgumų.</w:t>
            </w:r>
          </w:p>
          <w:p>
            <w:pPr>
              <w:pStyle w:val="Normal"/>
              <w:widowControl w:val="false"/>
              <w:suppressAutoHyphens w:val="true"/>
              <w:spacing w:lineRule="auto" w:line="240" w:before="0" w:after="0"/>
              <w:ind w:hanging="0"/>
              <w:rPr>
                <w:rFonts w:ascii="Arial" w:hAnsi="Arial" w:cs="Arial"/>
                <w:color w:val="000000"/>
                <w:sz w:val="22"/>
                <w:szCs w:val="22"/>
              </w:rPr>
            </w:pPr>
            <w:r>
              <w:rPr>
                <w:rFonts w:eastAsia="" w:cs="Arial" w:ascii="Arial" w:hAnsi="Arial"/>
                <w:color w:val="000000"/>
                <w:kern w:val="0"/>
                <w:sz w:val="22"/>
                <w:szCs w:val="22"/>
                <w:lang w:val="lt-LT" w:eastAsia="en-US" w:bidi="ar-SA"/>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hanging="0"/>
        <w:jc w:val="center"/>
        <w:rPr>
          <w:rFonts w:ascii="Arial" w:hAnsi="Arial" w:eastAsia="Arial" w:cs="Arial"/>
          <w:b/>
          <w:sz w:val="24"/>
          <w:szCs w:val="24"/>
        </w:rPr>
      </w:pPr>
      <w:r>
        <w:rPr>
          <w:rFonts w:eastAsia="Arial" w:cs="Arial" w:ascii="Arial" w:hAnsi="Arial"/>
          <w:b/>
          <w:sz w:val="24"/>
          <w:szCs w:val="24"/>
        </w:rPr>
        <w:t>Tiekėjams keliami reikalavimai dėl kokybės vadybos sistemos ir (ar) aplinkos apsaugos vadybos sistemos standartų reikalavimai</w:t>
      </w:r>
    </w:p>
    <w:p>
      <w:pPr>
        <w:pStyle w:val="Normal"/>
        <w:spacing w:lineRule="auto" w:line="240"/>
        <w:ind w:hanging="0"/>
        <w:jc w:val="center"/>
        <w:rPr>
          <w:rFonts w:ascii="Arial" w:hAnsi="Arial" w:eastAsia="Arial" w:cs="Arial"/>
          <w:b/>
          <w:sz w:val="24"/>
          <w:szCs w:val="24"/>
        </w:rPr>
      </w:pPr>
      <w:r>
        <w:rPr>
          <w:rFonts w:eastAsia="Arial" w:cs="Arial" w:ascii="Arial" w:hAnsi="Arial"/>
          <w:b/>
          <w:sz w:val="24"/>
          <w:szCs w:val="24"/>
        </w:rPr>
      </w:r>
    </w:p>
    <w:p>
      <w:pPr>
        <w:pStyle w:val="Normal"/>
        <w:spacing w:lineRule="auto" w:line="240"/>
        <w:ind w:firstLine="567"/>
        <w:rPr>
          <w:rFonts w:ascii="Arial" w:hAnsi="Arial" w:eastAsia="Arial" w:cs="Arial"/>
          <w:sz w:val="24"/>
          <w:szCs w:val="24"/>
        </w:rPr>
      </w:pPr>
      <w:r>
        <w:rPr>
          <w:rFonts w:eastAsia="Arial" w:cs="Arial" w:ascii="Arial" w:hAnsi="Arial"/>
          <w:sz w:val="24"/>
          <w:szCs w:val="24"/>
        </w:rPr>
        <w:t>1. Perkančioji organizacija šiame pirkime nereikalauja, kad tiekėjai laikytųsi kokybės vadybos sistemos ir (arba) aplinkos apsaugos vadybos sistemos standartų.</w:t>
      </w:r>
    </w:p>
    <w:p>
      <w:pPr>
        <w:pStyle w:val="Normal"/>
        <w:spacing w:lineRule="auto" w:line="240"/>
        <w:ind w:firstLine="567"/>
        <w:rPr>
          <w:rFonts w:ascii="Arial" w:hAnsi="Arial" w:eastAsia="Arial" w:cs="Arial"/>
          <w:sz w:val="24"/>
          <w:szCs w:val="24"/>
        </w:rPr>
      </w:pPr>
      <w:r>
        <w:rPr>
          <w:rFonts w:eastAsia="Arial" w:cs="Arial" w:ascii="Arial" w:hAnsi="Arial"/>
          <w:sz w:val="24"/>
          <w:szCs w:val="24"/>
        </w:rPr>
      </w:r>
    </w:p>
    <w:p>
      <w:pPr>
        <w:pStyle w:val="Normal"/>
        <w:spacing w:lineRule="auto" w:line="240"/>
        <w:ind w:firstLine="567"/>
        <w:jc w:val="center"/>
        <w:rPr>
          <w:rFonts w:ascii="Arial" w:hAnsi="Arial" w:eastAsia="Arial" w:cs="Arial"/>
          <w:sz w:val="24"/>
          <w:szCs w:val="24"/>
        </w:rPr>
      </w:pPr>
      <w:r>
        <w:rPr>
          <w:rFonts w:eastAsia="Arial" w:cs="Arial" w:ascii="Arial" w:hAnsi="Arial"/>
          <w:sz w:val="24"/>
          <w:szCs w:val="24"/>
        </w:rPr>
        <w:t>___________________</w:t>
      </w:r>
    </w:p>
    <w:p>
      <w:pPr>
        <w:pStyle w:val="Normal"/>
        <w:spacing w:lineRule="auto" w:line="240"/>
        <w:ind w:hanging="0" w:left="7470"/>
        <w:rPr>
          <w:rFonts w:ascii="Arial" w:hAnsi="Arial" w:cs="Arial"/>
          <w:sz w:val="24"/>
          <w:szCs w:val="24"/>
        </w:rPr>
      </w:pPr>
      <w:r>
        <w:rPr>
          <w:rFonts w:cs="Arial" w:ascii="Arial" w:hAnsi="Arial"/>
          <w:sz w:val="24"/>
          <w:szCs w:val="24"/>
        </w:rPr>
      </w:r>
      <w:bookmarkStart w:id="18" w:name="_Ref38539939"/>
      <w:bookmarkStart w:id="19" w:name="_Ref38541068"/>
      <w:bookmarkStart w:id="20" w:name="_Ref38885053"/>
      <w:bookmarkStart w:id="21" w:name="_Ref38899023"/>
      <w:bookmarkStart w:id="22" w:name="_Toc48053185"/>
      <w:bookmarkStart w:id="23" w:name="_Toc85706891"/>
      <w:bookmarkStart w:id="24" w:name="_heading=h.26in1rg"/>
      <w:bookmarkStart w:id="25" w:name="_Ref38539939"/>
      <w:bookmarkStart w:id="26" w:name="_Ref38541068"/>
      <w:bookmarkStart w:id="27" w:name="_Ref38885053"/>
      <w:bookmarkStart w:id="28" w:name="_Ref38899023"/>
      <w:bookmarkStart w:id="29" w:name="_Toc48053185"/>
      <w:bookmarkStart w:id="30" w:name="_Toc85706891"/>
      <w:bookmarkStart w:id="31" w:name="_heading=h.26in1rg"/>
      <w:bookmarkEnd w:id="31"/>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r>
        <w:rPr>
          <w:rFonts w:cs="Arial" w:ascii="Arial" w:hAnsi="Arial"/>
          <w:sz w:val="24"/>
          <w:szCs w:val="24"/>
        </w:rPr>
      </w:r>
    </w:p>
    <w:p>
      <w:pPr>
        <w:pStyle w:val="Normal"/>
        <w:spacing w:lineRule="auto" w:line="240"/>
        <w:ind w:hanging="0" w:left="7470"/>
        <w:rPr>
          <w:rFonts w:ascii="Arial" w:hAnsi="Arial" w:cs="Arial"/>
          <w:sz w:val="24"/>
          <w:szCs w:val="24"/>
        </w:rPr>
      </w:pPr>
      <w:bookmarkStart w:id="32" w:name="_Ref38539939"/>
      <w:bookmarkStart w:id="33" w:name="_Ref38541068"/>
      <w:bookmarkStart w:id="34" w:name="_Ref38885053"/>
      <w:bookmarkStart w:id="35" w:name="_Ref38899023"/>
      <w:bookmarkStart w:id="36" w:name="_Toc48053185"/>
      <w:bookmarkStart w:id="37" w:name="_Toc85706891"/>
      <w:r>
        <w:rPr>
          <w:rFonts w:cs="Arial" w:ascii="Arial" w:hAnsi="Arial"/>
          <w:sz w:val="24"/>
          <w:szCs w:val="24"/>
        </w:rPr>
        <w:t>Pirkimo sąlygų 3 priedas „Techninė specifikacija“</w:t>
      </w:r>
      <w:bookmarkStart w:id="38" w:name="_Hlk86837214"/>
      <w:bookmarkEnd w:id="32"/>
      <w:bookmarkEnd w:id="33"/>
      <w:bookmarkEnd w:id="34"/>
      <w:bookmarkEnd w:id="35"/>
      <w:bookmarkEnd w:id="36"/>
      <w:bookmarkEnd w:id="37"/>
      <w:bookmarkEnd w:id="38"/>
    </w:p>
    <w:p>
      <w:pPr>
        <w:pStyle w:val="Normal"/>
        <w:spacing w:lineRule="auto" w:line="240"/>
        <w:ind w:hanging="0"/>
        <w:rPr>
          <w:rFonts w:ascii="Arial" w:hAnsi="Arial" w:cs="Arial"/>
          <w:sz w:val="24"/>
          <w:szCs w:val="24"/>
        </w:rPr>
      </w:pPr>
      <w:r>
        <w:rPr>
          <w:rFonts w:cs="Arial" w:ascii="Arial" w:hAnsi="Arial"/>
          <w:sz w:val="24"/>
          <w:szCs w:val="24"/>
        </w:rPr>
      </w:r>
    </w:p>
    <w:p>
      <w:pPr>
        <w:pStyle w:val="Normal"/>
        <w:suppressAutoHyphens w:val="false"/>
        <w:spacing w:lineRule="auto" w:line="240"/>
        <w:ind w:hanging="0"/>
        <w:jc w:val="center"/>
        <w:rPr>
          <w:rFonts w:ascii="Times New Roman" w:hAnsi="Times New Roman" w:eastAsia="Times New Roman" w:cs="Times New Roman"/>
          <w:caps/>
          <w:sz w:val="24"/>
          <w:szCs w:val="24"/>
          <w:lang w:eastAsia="en-US"/>
        </w:rPr>
      </w:pPr>
      <w:r>
        <w:rPr>
          <w:rFonts w:eastAsia="Times New Roman" w:cs="Arial" w:ascii="Arial" w:hAnsi="Arial"/>
          <w:b/>
          <w:bCs/>
          <w:caps/>
          <w:color w:val="000000"/>
          <w:sz w:val="26"/>
          <w:szCs w:val="26"/>
          <w:lang w:eastAsia="en-US"/>
        </w:rPr>
        <w:t>Techninė specifikacija</w:t>
      </w:r>
    </w:p>
    <w:p>
      <w:pPr>
        <w:pStyle w:val="Normal"/>
        <w:suppressAutoHyphens w:val="false"/>
        <w:spacing w:lineRule="auto" w:line="240"/>
        <w:ind w:hanging="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numPr>
          <w:ilvl w:val="0"/>
          <w:numId w:val="4"/>
        </w:numPr>
        <w:tabs>
          <w:tab w:val="clear" w:pos="397"/>
          <w:tab w:val="left" w:pos="180" w:leader="none"/>
        </w:tabs>
        <w:suppressAutoHyphens w:val="false"/>
        <w:spacing w:lineRule="auto" w:line="240"/>
        <w:ind w:hanging="0" w:left="0"/>
        <w:jc w:val="center"/>
        <w:rPr>
          <w:rFonts w:ascii="Times New Roman" w:hAnsi="Times New Roman" w:eastAsia="Times New Roman" w:cs="Times New Roman"/>
          <w:sz w:val="24"/>
          <w:szCs w:val="24"/>
          <w:lang w:eastAsia="en-US"/>
        </w:rPr>
      </w:pPr>
      <w:r>
        <w:rPr>
          <w:rFonts w:eastAsia="Times New Roman" w:cs="Arial" w:ascii="Arial" w:hAnsi="Arial"/>
          <w:b/>
          <w:bCs/>
          <w:color w:val="000000"/>
          <w:sz w:val="24"/>
          <w:szCs w:val="24"/>
          <w:lang w:eastAsia="en-US"/>
        </w:rPr>
        <w:t>ĮVADINĖ DALIS</w:t>
      </w:r>
    </w:p>
    <w:p>
      <w:pPr>
        <w:pStyle w:val="Normal"/>
        <w:suppressAutoHyphens w:val="false"/>
        <w:spacing w:lineRule="auto" w:line="240"/>
        <w:ind w:hanging="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tabs>
          <w:tab w:val="clear" w:pos="397"/>
          <w:tab w:val="left" w:pos="900" w:leader="none"/>
        </w:tabs>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 xml:space="preserve">1.1. Paslaugos pirkėjas – Prienų rajono savivaldybės administracija, juridinio asmens kodas 288742590, Laisvės a. 12, LT-59126 Prienai. </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1.2. Šioje techninėje specifikacijoje aprašomos paslaugos, skirtos atlikti Prienų rajono savivaldybės gyvenamųjų vietovių panaikinimo, nustatymo ir pavadinimų suteikimo, teritorijų ribų nustatymo plano rengimo paslaugas (toliau – Paslaugos).</w:t>
      </w:r>
    </w:p>
    <w:p>
      <w:pPr>
        <w:pStyle w:val="Normal"/>
        <w:suppressAutoHyphens w:val="false"/>
        <w:spacing w:lineRule="auto" w:line="240"/>
        <w:ind w:firstLine="63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numPr>
          <w:ilvl w:val="0"/>
          <w:numId w:val="5"/>
        </w:numPr>
        <w:tabs>
          <w:tab w:val="clear" w:pos="397"/>
          <w:tab w:val="left" w:pos="180" w:leader="none"/>
        </w:tabs>
        <w:suppressAutoHyphens w:val="false"/>
        <w:spacing w:lineRule="auto" w:line="240"/>
        <w:ind w:hanging="0" w:left="0"/>
        <w:jc w:val="center"/>
        <w:rPr>
          <w:rFonts w:ascii="Times New Roman" w:hAnsi="Times New Roman" w:eastAsia="Times New Roman" w:cs="Times New Roman"/>
          <w:sz w:val="24"/>
          <w:szCs w:val="24"/>
          <w:lang w:eastAsia="en-US"/>
        </w:rPr>
      </w:pPr>
      <w:r>
        <w:rPr>
          <w:rFonts w:eastAsia="Times New Roman" w:cs="Arial" w:ascii="Arial" w:hAnsi="Arial"/>
          <w:b/>
          <w:bCs/>
          <w:color w:val="000000"/>
          <w:sz w:val="24"/>
          <w:szCs w:val="24"/>
          <w:lang w:eastAsia="en-US"/>
        </w:rPr>
        <w:t>PIRKIMO OBJEKTAS</w:t>
      </w:r>
    </w:p>
    <w:p>
      <w:pPr>
        <w:pStyle w:val="Normal"/>
        <w:suppressAutoHyphens w:val="false"/>
        <w:spacing w:lineRule="auto" w:line="240"/>
        <w:ind w:hanging="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tabs>
          <w:tab w:val="clear" w:pos="397"/>
          <w:tab w:val="left" w:pos="900" w:leader="none"/>
        </w:tabs>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2.1. Pirkimo objektas – Prienų rajono savivaldybės gyvenamųjų vietovių panaikinimo, nustatymo ir pavadinimų suteikimo, teritorijų ribų nustatymo planas (toliau – Planas).</w:t>
      </w:r>
    </w:p>
    <w:p>
      <w:pPr>
        <w:pStyle w:val="Normal"/>
        <w:tabs>
          <w:tab w:val="clear" w:pos="397"/>
          <w:tab w:val="left" w:pos="900" w:leader="none"/>
        </w:tabs>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2.2. Planuojamos teritorija – Prienų rajono savivaldybės teritorija.</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2.3. Perkamos Paslaugos apima Plano parengimą pagal Prienų rajono savivaldybės tarybos 2026 m. kovo 26 d. sprendimą Nr. T3-53 „Dėl pritarimo vietos gyventojų apklausų rezultatams“; Prienų rajono savivaldybės tarybos 2026 m. balandžio 30 d. sprendimą Nr. T3-101 „Dėl Prienų rajono savivaldybės tarybos 2026 m. kovo 26 d. sprendimo Nr. T3-53 „Dėl pritarimo vietos gyventojų apklausų rezultatams“ pakeitimo“ ir Prienų rajono savivaldybės administracijos direktoriaus 2026 m. gegužės 28 d. įsakymu Nr. A3-437 „Dėl Prienų rajono savivaldybės gyvenamųjų vietovių panaikinimo, nustatymo ir pavadinimų suteikimo, teritorijų ribų nustatymo plano rengimo organizavimo“ patvirtintą planavimo darbų programą.</w:t>
      </w:r>
    </w:p>
    <w:p>
      <w:pPr>
        <w:pStyle w:val="Normal"/>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2.4. Paslaugos suteiktos tinkamai, kai:</w:t>
      </w:r>
    </w:p>
    <w:p>
      <w:pPr>
        <w:pStyle w:val="Normal"/>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 xml:space="preserve">2.4.1. Parengtas Planas suderinamas su: </w:t>
      </w:r>
    </w:p>
    <w:p>
      <w:pPr>
        <w:pStyle w:val="Normal"/>
        <w:suppressAutoHyphens w:val="false"/>
        <w:spacing w:lineRule="auto" w:line="240"/>
        <w:ind w:firstLine="540"/>
        <w:rPr>
          <w:rFonts w:ascii="Times New Roman" w:hAnsi="Times New Roman" w:eastAsia="Times New Roman" w:cs="Times New Roman"/>
          <w:sz w:val="24"/>
          <w:szCs w:val="24"/>
          <w:lang w:val="en-US" w:eastAsia="en-US"/>
        </w:rPr>
      </w:pPr>
      <w:r>
        <w:rPr>
          <w:rFonts w:eastAsia="Symbol" w:cs="Symbol" w:ascii="Symbol" w:hAnsi="Symbol"/>
          <w:color w:val="000000"/>
          <w:sz w:val="24"/>
          <w:szCs w:val="24"/>
          <w:lang w:val="en-US" w:eastAsia="en-US"/>
        </w:rPr>
        <w:sym w:font="Symbol" w:char="f02d"/>
      </w:r>
      <w:r>
        <w:rPr>
          <w:rFonts w:eastAsia="Times New Roman" w:cs="Times New Roman" w:ascii="Times New Roman" w:hAnsi="Times New Roman"/>
          <w:color w:val="000000"/>
          <w:sz w:val="24"/>
          <w:szCs w:val="24"/>
          <w:lang w:val="en-US" w:eastAsia="en-US"/>
        </w:rPr>
        <w:t xml:space="preserve"> </w:t>
      </w:r>
      <w:r>
        <w:rPr>
          <w:rFonts w:eastAsia="Times New Roman" w:cs="Arial" w:ascii="Arial" w:hAnsi="Arial"/>
          <w:color w:val="000000"/>
          <w:sz w:val="24"/>
          <w:szCs w:val="24"/>
          <w:lang w:eastAsia="en-US"/>
        </w:rPr>
        <w:t>VĮ Registrų centru;</w:t>
      </w:r>
    </w:p>
    <w:p>
      <w:pPr>
        <w:pStyle w:val="Normal"/>
        <w:suppressAutoHyphens w:val="false"/>
        <w:spacing w:lineRule="auto" w:line="240"/>
        <w:ind w:firstLine="540"/>
        <w:rPr>
          <w:rFonts w:ascii="Times New Roman" w:hAnsi="Times New Roman" w:eastAsia="Times New Roman" w:cs="Times New Roman"/>
          <w:sz w:val="24"/>
          <w:szCs w:val="24"/>
          <w:lang w:val="en-US" w:eastAsia="en-US"/>
        </w:rPr>
      </w:pPr>
      <w:r>
        <w:rPr>
          <w:rFonts w:eastAsia="Symbol" w:cs="Symbol" w:ascii="Symbol" w:hAnsi="Symbol"/>
          <w:color w:val="000000"/>
          <w:sz w:val="24"/>
          <w:szCs w:val="24"/>
          <w:lang w:val="en-US" w:eastAsia="en-US"/>
        </w:rPr>
        <w:sym w:font="Symbol" w:char="f02d"/>
      </w:r>
      <w:r>
        <w:rPr>
          <w:rFonts w:eastAsia="Times New Roman" w:cs="Times New Roman" w:ascii="Times New Roman" w:hAnsi="Times New Roman"/>
          <w:color w:val="000000"/>
          <w:sz w:val="24"/>
          <w:szCs w:val="24"/>
          <w:lang w:val="en-US" w:eastAsia="en-US"/>
        </w:rPr>
        <w:t xml:space="preserve"> </w:t>
      </w:r>
      <w:r>
        <w:rPr>
          <w:rFonts w:eastAsia="Times New Roman" w:cs="Arial" w:ascii="Arial" w:hAnsi="Arial"/>
          <w:color w:val="000000"/>
          <w:sz w:val="24"/>
          <w:szCs w:val="24"/>
          <w:lang w:eastAsia="en-US"/>
        </w:rPr>
        <w:t>Lietuvos Respublikos aplinkos ministerija;</w:t>
      </w:r>
    </w:p>
    <w:p>
      <w:pPr>
        <w:pStyle w:val="Normal"/>
        <w:suppressAutoHyphens w:val="false"/>
        <w:spacing w:lineRule="auto" w:line="240"/>
        <w:ind w:firstLine="540"/>
        <w:rPr>
          <w:rFonts w:ascii="Times New Roman" w:hAnsi="Times New Roman" w:eastAsia="Times New Roman" w:cs="Times New Roman"/>
          <w:sz w:val="24"/>
          <w:szCs w:val="24"/>
          <w:lang w:val="en-US" w:eastAsia="en-US"/>
        </w:rPr>
      </w:pPr>
      <w:r>
        <w:rPr>
          <w:rFonts w:eastAsia="Symbol" w:cs="Symbol" w:ascii="Symbol" w:hAnsi="Symbol"/>
          <w:color w:val="000000"/>
          <w:sz w:val="24"/>
          <w:szCs w:val="24"/>
          <w:lang w:val="en-US" w:eastAsia="en-US"/>
        </w:rPr>
        <w:sym w:font="Symbol" w:char="f02d"/>
      </w:r>
      <w:r>
        <w:rPr>
          <w:rFonts w:eastAsia="Times New Roman" w:cs="Times New Roman" w:ascii="Times New Roman" w:hAnsi="Times New Roman"/>
          <w:color w:val="000000"/>
          <w:sz w:val="24"/>
          <w:szCs w:val="24"/>
          <w:lang w:val="en-US" w:eastAsia="en-US"/>
        </w:rPr>
        <w:t xml:space="preserve"> </w:t>
      </w:r>
      <w:r>
        <w:rPr>
          <w:rFonts w:eastAsia="Times New Roman" w:cs="Arial" w:ascii="Arial" w:hAnsi="Arial"/>
          <w:color w:val="000000"/>
          <w:sz w:val="24"/>
          <w:szCs w:val="24"/>
          <w:lang w:eastAsia="en-US"/>
        </w:rPr>
        <w:t>Lietuvos Respublikos susisiekimo ministerija;</w:t>
      </w:r>
    </w:p>
    <w:p>
      <w:pPr>
        <w:pStyle w:val="Normal"/>
        <w:suppressAutoHyphens w:val="false"/>
        <w:spacing w:lineRule="auto" w:line="240"/>
        <w:ind w:firstLine="540"/>
        <w:rPr>
          <w:rFonts w:ascii="Arial" w:hAnsi="Arial" w:eastAsia="Times New Roman" w:cs="Arial"/>
          <w:color w:val="000000"/>
          <w:sz w:val="24"/>
          <w:szCs w:val="24"/>
          <w:lang w:eastAsia="en-US"/>
        </w:rPr>
      </w:pPr>
      <w:r>
        <w:rPr>
          <w:rFonts w:eastAsia="Symbol" w:cs="Symbol" w:ascii="Symbol" w:hAnsi="Symbol"/>
          <w:color w:val="000000"/>
          <w:sz w:val="24"/>
          <w:szCs w:val="24"/>
          <w:lang w:val="en-US" w:eastAsia="en-US"/>
        </w:rPr>
        <w:sym w:font="Symbol" w:char="f02d"/>
      </w:r>
      <w:r>
        <w:rPr>
          <w:rFonts w:eastAsia="Times New Roman" w:cs="Times New Roman" w:ascii="Times New Roman" w:hAnsi="Times New Roman"/>
          <w:color w:val="000000"/>
          <w:sz w:val="24"/>
          <w:szCs w:val="24"/>
          <w:lang w:val="en-US" w:eastAsia="en-US"/>
        </w:rPr>
        <w:t xml:space="preserve"> </w:t>
      </w:r>
      <w:r>
        <w:rPr>
          <w:rFonts w:eastAsia="Times New Roman" w:cs="Arial" w:ascii="Arial" w:hAnsi="Arial"/>
          <w:color w:val="000000"/>
          <w:sz w:val="24"/>
          <w:szCs w:val="24"/>
          <w:lang w:eastAsia="en-US"/>
        </w:rPr>
        <w:t>Nacionaline žemės tarnyba prie Aplinkos ministerijos;</w:t>
      </w:r>
    </w:p>
    <w:p>
      <w:pPr>
        <w:pStyle w:val="Normal"/>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2.4.2. Planui pritaria Prienų rajono savivaldybės taryba;</w:t>
      </w:r>
    </w:p>
    <w:p>
      <w:pPr>
        <w:pStyle w:val="Normal"/>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2.4.3. Plano rengėjas Prienų rajono savivaldybei pateikia skaitmeninį Planą (Plano tekstinė ir grafinė dalys) PDF (ISO 32000-1) formatu ir Plano grafinę dalį erdvinių duomenų (pvz., ESRI </w:t>
      </w:r>
      <w:r>
        <w:rPr>
          <w:rFonts w:eastAsia="Times New Roman" w:cs="Arial" w:ascii="Arial" w:hAnsi="Arial"/>
          <w:i/>
          <w:iCs/>
          <w:color w:val="000000"/>
          <w:sz w:val="24"/>
          <w:szCs w:val="24"/>
          <w:lang w:eastAsia="en-US"/>
        </w:rPr>
        <w:t>Shapefile</w:t>
      </w:r>
      <w:r>
        <w:rPr>
          <w:rFonts w:eastAsia="Times New Roman" w:cs="Arial" w:ascii="Arial" w:hAnsi="Arial"/>
          <w:color w:val="000000"/>
          <w:sz w:val="24"/>
          <w:szCs w:val="24"/>
          <w:lang w:eastAsia="en-US"/>
        </w:rPr>
        <w:t>, </w:t>
      </w:r>
      <w:r>
        <w:rPr>
          <w:rFonts w:eastAsia="Times New Roman" w:cs="Arial" w:ascii="Arial" w:hAnsi="Arial"/>
          <w:i/>
          <w:iCs/>
          <w:color w:val="000000"/>
          <w:sz w:val="24"/>
          <w:szCs w:val="24"/>
          <w:lang w:eastAsia="en-US"/>
        </w:rPr>
        <w:t>GeoJSON</w:t>
      </w:r>
      <w:r>
        <w:rPr>
          <w:rFonts w:eastAsia="Times New Roman" w:cs="Arial" w:ascii="Arial" w:hAnsi="Arial"/>
          <w:color w:val="000000"/>
          <w:sz w:val="24"/>
          <w:szCs w:val="24"/>
          <w:lang w:eastAsia="en-US"/>
        </w:rPr>
        <w:t> ar kt.) formatu, neviršijančią 400 MB dydžio, taip pat atspausdintą Plano egzempliorių (1 vienetas tekstinės dalies, 1 vienetas žemėlapių M 1:10 000, M 1:50 000).</w:t>
      </w:r>
    </w:p>
    <w:p>
      <w:pPr>
        <w:pStyle w:val="Normal"/>
        <w:suppressAutoHyphens w:val="false"/>
        <w:spacing w:lineRule="auto" w:line="240"/>
        <w:ind w:firstLine="540"/>
        <w:rPr>
          <w:rFonts w:ascii="Times New Roman" w:hAnsi="Times New Roman" w:eastAsia="Times New Roman" w:cs="Times New Roman"/>
          <w:sz w:val="24"/>
          <w:szCs w:val="24"/>
          <w:lang w:val="en-US" w:eastAsia="en-US"/>
        </w:rPr>
      </w:pPr>
      <w:r>
        <w:rPr>
          <w:rFonts w:eastAsia="Times New Roman" w:cs="Arial" w:ascii="Arial" w:hAnsi="Arial"/>
          <w:color w:val="000000"/>
          <w:sz w:val="24"/>
          <w:szCs w:val="24"/>
          <w:lang w:eastAsia="en-US"/>
        </w:rPr>
        <w:t>2.5. Planas laikomas priimtu, kai Paslaugų tiekėjas Perkančiajai organizacijai perduoda parengtą 2.4 punkte nurodytą medžiagą ir abi šalys pasirašo suteiktų Paslaugų perdavimo-priėmimo aktą.</w:t>
      </w:r>
    </w:p>
    <w:p>
      <w:pPr>
        <w:pStyle w:val="Normal"/>
        <w:suppressAutoHyphens w:val="false"/>
        <w:spacing w:lineRule="auto" w:line="240"/>
        <w:ind w:firstLine="540"/>
        <w:rPr>
          <w:rFonts w:ascii="Times New Roman" w:hAnsi="Times New Roman" w:eastAsia="Times New Roman" w:cs="Times New Roman"/>
          <w:sz w:val="24"/>
          <w:szCs w:val="24"/>
          <w:lang w:val="en-US" w:eastAsia="en-US"/>
        </w:rPr>
      </w:pPr>
      <w:r>
        <w:rPr>
          <w:rFonts w:eastAsia="Times New Roman" w:cs="Times New Roman" w:ascii="Times New Roman" w:hAnsi="Times New Roman"/>
          <w:sz w:val="24"/>
          <w:szCs w:val="24"/>
          <w:lang w:val="en-US" w:eastAsia="en-US"/>
        </w:rPr>
      </w:r>
    </w:p>
    <w:p>
      <w:pPr>
        <w:pStyle w:val="Normal"/>
        <w:numPr>
          <w:ilvl w:val="0"/>
          <w:numId w:val="6"/>
        </w:numPr>
        <w:tabs>
          <w:tab w:val="clear" w:pos="397"/>
          <w:tab w:val="left" w:pos="180" w:leader="none"/>
        </w:tabs>
        <w:suppressAutoHyphens w:val="false"/>
        <w:spacing w:lineRule="auto" w:line="240"/>
        <w:ind w:hanging="0" w:left="0"/>
        <w:jc w:val="center"/>
        <w:rPr>
          <w:rFonts w:ascii="Times New Roman" w:hAnsi="Times New Roman" w:eastAsia="Times New Roman" w:cs="Times New Roman"/>
          <w:sz w:val="24"/>
          <w:szCs w:val="24"/>
          <w:lang w:eastAsia="en-US"/>
        </w:rPr>
      </w:pPr>
      <w:r>
        <w:rPr>
          <w:rFonts w:eastAsia="Times New Roman" w:cs="Arial" w:ascii="Arial" w:hAnsi="Arial"/>
          <w:b/>
          <w:bCs/>
          <w:color w:val="000000"/>
          <w:sz w:val="24"/>
          <w:szCs w:val="24"/>
          <w:lang w:eastAsia="en-US"/>
        </w:rPr>
        <w:t>PASLAUGŲ SUTEIKIMO TERMINAS</w:t>
      </w:r>
    </w:p>
    <w:p>
      <w:pPr>
        <w:pStyle w:val="Normal"/>
        <w:suppressAutoHyphens w:val="false"/>
        <w:spacing w:lineRule="auto" w:line="240"/>
        <w:ind w:hanging="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tabs>
          <w:tab w:val="clear" w:pos="397"/>
          <w:tab w:val="left" w:pos="900" w:leader="none"/>
        </w:tabs>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3.1. Sutarties terminai – 18 mėn. nuo Sutarties pasirašymo dienos.</w:t>
      </w:r>
    </w:p>
    <w:p>
      <w:pPr>
        <w:pStyle w:val="Normal"/>
        <w:tabs>
          <w:tab w:val="clear" w:pos="397"/>
          <w:tab w:val="left" w:pos="900" w:leader="none"/>
        </w:tabs>
        <w:suppressAutoHyphens w:val="false"/>
        <w:spacing w:lineRule="auto" w:line="240"/>
        <w:ind w:firstLine="540"/>
        <w:rPr>
          <w:rFonts w:ascii="Arial" w:hAnsi="Arial" w:eastAsia="Times New Roman" w:cs="Arial"/>
          <w:color w:val="000000"/>
          <w:sz w:val="24"/>
          <w:szCs w:val="24"/>
          <w:lang w:eastAsia="en-US"/>
        </w:rPr>
      </w:pPr>
      <w:r>
        <w:rPr>
          <w:rFonts w:eastAsia="Times New Roman" w:cs="Arial" w:ascii="Arial" w:hAnsi="Arial"/>
          <w:color w:val="000000"/>
          <w:sz w:val="24"/>
          <w:szCs w:val="24"/>
          <w:lang w:eastAsia="en-US"/>
        </w:rPr>
        <w:t>3.2. Pasirašius Sutartį, per 5 darbo dienas sudaromas darbų grafikas.</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numPr>
          <w:ilvl w:val="0"/>
          <w:numId w:val="7"/>
        </w:numPr>
        <w:tabs>
          <w:tab w:val="clear" w:pos="397"/>
          <w:tab w:val="left" w:pos="180" w:leader="none"/>
        </w:tabs>
        <w:suppressAutoHyphens w:val="false"/>
        <w:spacing w:lineRule="auto" w:line="240"/>
        <w:ind w:hanging="0" w:left="0"/>
        <w:jc w:val="center"/>
        <w:rPr>
          <w:rFonts w:ascii="Times New Roman" w:hAnsi="Times New Roman" w:eastAsia="Times New Roman" w:cs="Times New Roman"/>
          <w:sz w:val="24"/>
          <w:szCs w:val="24"/>
          <w:lang w:eastAsia="en-US"/>
        </w:rPr>
      </w:pPr>
      <w:r>
        <w:rPr>
          <w:rFonts w:eastAsia="Times New Roman" w:cs="Arial" w:ascii="Arial" w:hAnsi="Arial"/>
          <w:b/>
          <w:bCs/>
          <w:color w:val="000000"/>
          <w:sz w:val="24"/>
          <w:szCs w:val="24"/>
          <w:lang w:eastAsia="en-US"/>
        </w:rPr>
        <w:t>PIRKIMO OBJEKTUI KELIAMI KOKYBĖS REIKALAVIMAI</w:t>
      </w:r>
    </w:p>
    <w:p>
      <w:pPr>
        <w:pStyle w:val="Normal"/>
        <w:suppressAutoHyphens w:val="false"/>
        <w:spacing w:lineRule="auto" w:line="240"/>
        <w:ind w:hanging="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 xml:space="preserve">4.1. </w:t>
      </w:r>
      <w:r>
        <w:rPr>
          <w:rFonts w:eastAsia="Times New Roman" w:cs="Arial" w:ascii="Arial" w:hAnsi="Arial"/>
          <w:color w:val="000000"/>
          <w:sz w:val="24"/>
          <w:szCs w:val="24"/>
          <w:lang w:eastAsia="en-US"/>
        </w:rPr>
        <w:t>Paslaugos tuti būti teikiamos</w:t>
      </w:r>
      <w:r>
        <w:rPr>
          <w:rFonts w:eastAsia="Times New Roman" w:cs="Arial" w:ascii="Arial" w:hAnsi="Arial"/>
          <w:color w:val="000000"/>
          <w:sz w:val="24"/>
          <w:szCs w:val="24"/>
          <w:lang w:eastAsia="en-US"/>
        </w:rPr>
        <w:t xml:space="preserve"> vadovaujantis:</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4.1.1. Lietuvos Respublikos teritorijos administracinių vienetų ir jų ribų įstatymu;</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val="en-US" w:eastAsia="en-US"/>
        </w:rPr>
      </w:pPr>
      <w:r>
        <w:rPr>
          <w:rFonts w:eastAsia="Times New Roman" w:cs="Arial" w:ascii="Arial" w:hAnsi="Arial"/>
          <w:color w:val="000000"/>
          <w:sz w:val="24"/>
          <w:szCs w:val="24"/>
          <w:lang w:eastAsia="en-US"/>
        </w:rPr>
        <w:t>4.1.2. Lietuvos Respublikos nekilnojamojo turto kadastro įstatymu;</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4.1.3. Administracinių vienetų ir gyvenamųjų vietovių teritorijų ribų ir pavadinimų tvarkymo taisyklėmis, patvirtintomis Lietuvos Respublikos Vyriausybės 1996 m. birželio 3 d. nutarimu Nr. 651 „Dėl Administracinių vienetų ir gyvenamųjų vietovių teritorijų ribų pavadinimų tvarkymo taisyklių patvirtinimo“;</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4.1.4. Administracinių vienetų ir gyvenamųjų vietovių teritorijų ribų tvarkymo planų rengimo tvarkos aprašu, patvirtintu Lietuvos Respublikos vidaus reikalų ministro 2010 m. vasario 9 d. įsakymu Nr. 1V-80 „Dėl Administracinių vienetų ir gyvenamųjų vietovių teritorijų ribų tvarkymo planų rengimo tvarkos aprašo patvirtinimo“;</w:t>
      </w:r>
    </w:p>
    <w:p>
      <w:pPr>
        <w:pStyle w:val="Normal"/>
        <w:tabs>
          <w:tab w:val="clear" w:pos="397"/>
          <w:tab w:val="left" w:pos="900" w:leader="none"/>
        </w:tabs>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4.1.5. Kitais galiojančiais įstatymais, norminiais (teisiniais) aktais ir metodiniais nurodymais.</w:t>
      </w:r>
    </w:p>
    <w:p>
      <w:pPr>
        <w:pStyle w:val="Normal"/>
        <w:suppressAutoHyphens w:val="false"/>
        <w:spacing w:lineRule="auto" w:line="240"/>
        <w:ind w:hanging="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b/>
          <w:bCs/>
          <w:color w:val="000000"/>
          <w:sz w:val="24"/>
          <w:szCs w:val="24"/>
          <w:lang w:eastAsia="en-US"/>
        </w:rPr>
        <w:t>PRIDEDAMA:</w:t>
      </w:r>
    </w:p>
    <w:p>
      <w:pPr>
        <w:pStyle w:val="Normal"/>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1. Prienų rajono savivaldybės tarybos 2026 m. kovo 26 d. sprendimas Nr. T3-53 „Dėl pritarimo vietos gyventojų apklausų rezultatams“;</w:t>
      </w:r>
    </w:p>
    <w:p>
      <w:pPr>
        <w:pStyle w:val="Normal"/>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shd w:fill="FFFFFF" w:val="clear"/>
          <w:lang w:eastAsia="en-US"/>
        </w:rPr>
        <w:t>2. Prienų rajono savivaldybės tarybos 2026 m. balandžio 30 d. sprendimas Nr. T3-101 „Dėl Prienų rajono savivaldybės tarybos 2026 m. kovo 26 d. sprendimo Nr. T3-53 „Dėl pritarimo vietos gyventojų apklausų rezultatams“ pakeitimo“;</w:t>
      </w:r>
    </w:p>
    <w:p>
      <w:pPr>
        <w:pStyle w:val="Normal"/>
        <w:suppressAutoHyphens w:val="false"/>
        <w:spacing w:lineRule="auto" w:line="240"/>
        <w:ind w:firstLine="540"/>
        <w:rPr>
          <w:rFonts w:ascii="Times New Roman" w:hAnsi="Times New Roman" w:eastAsia="Times New Roman" w:cs="Times New Roman"/>
          <w:sz w:val="24"/>
          <w:szCs w:val="24"/>
          <w:lang w:eastAsia="en-US"/>
        </w:rPr>
      </w:pPr>
      <w:r>
        <w:rPr>
          <w:rFonts w:eastAsia="Times New Roman" w:cs="Arial" w:ascii="Arial" w:hAnsi="Arial"/>
          <w:color w:val="000000"/>
          <w:sz w:val="24"/>
          <w:szCs w:val="24"/>
          <w:shd w:fill="FFFFFF" w:val="clear"/>
          <w:lang w:eastAsia="en-US"/>
        </w:rPr>
        <w:t>3. Prienų rajono savivaldybės administracijos direktoriaus 2026 m. gegužės 28 d. įsakymas Nr. A3-437 „Dėl Prienų rajono savivaldybės gyvenamųjų vietovių panaikinimo, nustatymo ir pavadinimų suteikimo, teritorijų ribų nustatymo plano rengimo organizavimo“.</w:t>
      </w:r>
    </w:p>
    <w:p>
      <w:pPr>
        <w:pStyle w:val="Normal"/>
        <w:suppressAutoHyphens w:val="false"/>
        <w:spacing w:lineRule="auto" w:line="240"/>
        <w:ind w:hanging="850"/>
        <w:rPr>
          <w:rFonts w:ascii="Times New Roman" w:hAnsi="Times New Roman" w:eastAsia="Times New Roman" w:cs="Times New Roman"/>
          <w:sz w:val="24"/>
          <w:szCs w:val="24"/>
          <w:lang w:eastAsia="en-US"/>
        </w:rPr>
      </w:pPr>
      <w:r>
        <w:rPr>
          <w:rFonts w:eastAsia="Times New Roman" w:cs="Times New Roman" w:ascii="Times New Roman" w:hAnsi="Times New Roman"/>
          <w:sz w:val="24"/>
          <w:szCs w:val="24"/>
          <w:lang w:eastAsia="en-US"/>
        </w:rPr>
      </w:r>
    </w:p>
    <w:p>
      <w:pPr>
        <w:pStyle w:val="Normal"/>
        <w:suppressAutoHyphens w:val="false"/>
        <w:spacing w:lineRule="auto" w:line="240"/>
        <w:ind w:hanging="850" w:left="850"/>
        <w:jc w:val="center"/>
        <w:rPr>
          <w:rFonts w:ascii="Times New Roman" w:hAnsi="Times New Roman" w:eastAsia="Times New Roman" w:cs="Times New Roman"/>
          <w:sz w:val="24"/>
          <w:szCs w:val="24"/>
          <w:lang w:eastAsia="en-US"/>
        </w:rPr>
      </w:pPr>
      <w:r>
        <w:rPr>
          <w:rFonts w:eastAsia="Times New Roman" w:cs="Arial" w:ascii="Arial" w:hAnsi="Arial"/>
          <w:color w:val="000000"/>
          <w:sz w:val="24"/>
          <w:szCs w:val="24"/>
          <w:lang w:eastAsia="en-US"/>
        </w:rPr>
        <w:t>__________________</w:t>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Normal"/>
        <w:rPr/>
      </w:pPr>
      <w:r>
        <w:rPr/>
      </w:r>
    </w:p>
    <w:p>
      <w:pPr>
        <w:pStyle w:val="Normal"/>
        <w:rPr/>
      </w:pPr>
      <w:r>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Subtitle"/>
        <w:spacing w:lineRule="auto" w:line="240" w:before="0" w:after="0"/>
        <w:ind w:hanging="0" w:left="0"/>
        <w:jc w:val="center"/>
        <w:rPr>
          <w:rFonts w:ascii="Arial" w:hAnsi="Arial" w:cs="Arial"/>
          <w:bCs/>
          <w:color w:val="auto"/>
        </w:rPr>
      </w:pPr>
      <w:r>
        <w:rPr>
          <w:rFonts w:cs="Arial" w:ascii="Arial" w:hAnsi="Arial"/>
          <w:bCs/>
          <w:color w:themeColor="text1" w:themeTint="bf" w:val="auto"/>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tabs>
          <w:tab w:val="clear" w:pos="397"/>
          <w:tab w:val="center" w:pos="567" w:leader="none"/>
          <w:tab w:val="right" w:pos="8306" w:leader="none"/>
        </w:tabs>
        <w:spacing w:lineRule="auto" w:line="240"/>
        <w:ind w:firstLine="691"/>
        <w:rPr>
          <w:rFonts w:ascii="Arial" w:hAnsi="Arial" w:cs="Arial"/>
          <w:b/>
          <w:sz w:val="24"/>
          <w:szCs w:val="24"/>
        </w:rPr>
      </w:pPr>
      <w:r>
        <w:rPr>
          <w:rFonts w:cs="Arial" w:ascii="Arial" w:hAnsi="Arial"/>
          <w:b/>
          <w:sz w:val="24"/>
          <w:szCs w:val="24"/>
        </w:rPr>
      </w:r>
    </w:p>
    <w:p>
      <w:pPr>
        <w:pStyle w:val="Normal"/>
        <w:spacing w:lineRule="auto" w:line="240"/>
        <w:ind w:hanging="0" w:left="7110"/>
        <w:jc w:val="left"/>
        <w:rPr>
          <w:rFonts w:ascii="Arial" w:hAnsi="Arial" w:cs="Arial"/>
          <w:sz w:val="24"/>
          <w:szCs w:val="24"/>
        </w:rPr>
      </w:pPr>
      <w:bookmarkStart w:id="39" w:name="_Pirkimo_sąlygų_2"/>
      <w:bookmarkEnd w:id="39"/>
      <w:r>
        <w:rPr>
          <w:rFonts w:cs="Arial" w:ascii="Arial" w:hAnsi="Arial"/>
          <w:sz w:val="24"/>
          <w:szCs w:val="24"/>
        </w:rPr>
        <w:t>Pirkimo sąlygų 4 priedas „Pasiūlymo forma“</w:t>
      </w:r>
      <w:bookmarkStart w:id="40" w:name="_Hlk86825377"/>
      <w:bookmarkStart w:id="41" w:name="_Ref38540913"/>
      <w:bookmarkStart w:id="42" w:name="_Ref38898051"/>
      <w:bookmarkStart w:id="43" w:name="_Ref38901392"/>
      <w:bookmarkStart w:id="44" w:name="_Toc48053189"/>
      <w:bookmarkStart w:id="45" w:name="_Toc85706892"/>
      <w:bookmarkEnd w:id="40"/>
      <w:bookmarkEnd w:id="41"/>
      <w:bookmarkEnd w:id="42"/>
      <w:bookmarkEnd w:id="43"/>
      <w:bookmarkEnd w:id="44"/>
      <w:bookmarkEnd w:id="45"/>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bookmarkStart w:id="46" w:name="_Pirkimo_sąlygų_3"/>
      <w:bookmarkStart w:id="47" w:name="_Pirkimo_sąlygų_3"/>
      <w:bookmarkEnd w:id="47"/>
    </w:p>
    <w:p>
      <w:pPr>
        <w:pStyle w:val="Normal"/>
        <w:spacing w:lineRule="auto" w:line="240"/>
        <w:ind w:hanging="0"/>
        <w:jc w:val="center"/>
        <w:rPr>
          <w:rFonts w:ascii="Arial" w:hAnsi="Arial" w:cs="Arial"/>
          <w:sz w:val="20"/>
          <w:szCs w:val="20"/>
        </w:rPr>
      </w:pPr>
      <w:r>
        <w:rPr>
          <w:rFonts w:cs="Arial" w:ascii="Arial" w:hAnsi="Arial"/>
          <w:sz w:val="20"/>
          <w:szCs w:val="20"/>
        </w:rPr>
        <w:t>Herbas arba prekių ženklas</w:t>
      </w:r>
    </w:p>
    <w:p>
      <w:pPr>
        <w:pStyle w:val="Normal"/>
        <w:spacing w:lineRule="auto" w:line="240"/>
        <w:ind w:hanging="0"/>
        <w:jc w:val="center"/>
        <w:rPr>
          <w:rFonts w:ascii="Arial" w:hAnsi="Arial" w:cs="Arial"/>
          <w:sz w:val="18"/>
          <w:szCs w:val="18"/>
        </w:rPr>
      </w:pPr>
      <w:r>
        <w:rPr>
          <w:rFonts w:cs="Arial" w:ascii="Arial" w:hAnsi="Arial"/>
          <w:sz w:val="18"/>
          <w:szCs w:val="18"/>
        </w:rPr>
        <w:t>(Tiekėjo pavadinimas)</w:t>
      </w:r>
    </w:p>
    <w:p>
      <w:pPr>
        <w:pStyle w:val="Normal"/>
        <w:spacing w:lineRule="auto" w:line="240"/>
        <w:ind w:hanging="0"/>
        <w:jc w:val="center"/>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ind w:hanging="0"/>
        <w:jc w:val="center"/>
        <w:rPr>
          <w:rFonts w:ascii="Arial" w:hAnsi="Arial" w:cs="Arial"/>
          <w:b/>
          <w:bCs/>
          <w:sz w:val="24"/>
          <w:szCs w:val="24"/>
        </w:rPr>
      </w:pPr>
      <w:r>
        <w:rPr>
          <w:rFonts w:cs="Arial" w:ascii="Arial" w:hAnsi="Arial"/>
          <w:b/>
          <w:bCs/>
          <w:sz w:val="24"/>
          <w:szCs w:val="24"/>
        </w:rPr>
      </w:r>
    </w:p>
    <w:p>
      <w:pPr>
        <w:pStyle w:val="Normal"/>
        <w:spacing w:lineRule="auto" w:line="240"/>
        <w:ind w:hanging="0"/>
        <w:jc w:val="center"/>
        <w:rPr>
          <w:rFonts w:ascii="Arial" w:hAnsi="Arial" w:cs="Arial"/>
          <w:b/>
          <w:sz w:val="24"/>
          <w:szCs w:val="24"/>
        </w:rPr>
      </w:pPr>
      <w:r>
        <w:rPr>
          <w:rFonts w:cs="Arial" w:ascii="Arial" w:hAnsi="Arial"/>
          <w:b/>
          <w:sz w:val="24"/>
          <w:szCs w:val="24"/>
        </w:rPr>
      </w:r>
    </w:p>
    <w:p>
      <w:pPr>
        <w:pStyle w:val="Normal"/>
        <w:spacing w:lineRule="auto" w:line="240"/>
        <w:ind w:hanging="0"/>
        <w:jc w:val="center"/>
        <w:rPr>
          <w:rFonts w:ascii="Arial" w:hAnsi="Arial" w:cs="Arial"/>
          <w:b/>
          <w:sz w:val="24"/>
          <w:szCs w:val="24"/>
        </w:rPr>
      </w:pPr>
      <w:r>
        <w:rPr>
          <w:rFonts w:cs="Arial" w:ascii="Arial" w:hAnsi="Arial"/>
          <w:b/>
          <w:sz w:val="24"/>
          <w:szCs w:val="24"/>
        </w:rPr>
        <w:t>PASIŪLYMAS</w:t>
      </w:r>
    </w:p>
    <w:p>
      <w:pPr>
        <w:pStyle w:val="Normal"/>
        <w:spacing w:lineRule="auto" w:line="240"/>
        <w:ind w:hanging="0"/>
        <w:jc w:val="center"/>
        <w:rPr>
          <w:rFonts w:ascii="Arial" w:hAnsi="Arial" w:cs="Arial"/>
          <w:b/>
          <w:sz w:val="24"/>
          <w:szCs w:val="24"/>
        </w:rPr>
      </w:pPr>
      <w:r>
        <w:rPr>
          <w:rFonts w:cs="Arial" w:ascii="Arial" w:hAnsi="Arial"/>
          <w:b/>
          <w:sz w:val="24"/>
          <w:szCs w:val="24"/>
        </w:rPr>
        <w:t xml:space="preserve">DĖL PRIENŲ RAJONO SAVIVALDYBĖS GYVENAMŲJŲ VIETOVIŲ PANAIKINIMO, NUSTATYMO IR PAVADINIMŲ SUTEIKIMO, TERITORIJŲ RIBŲ NUSTATYMO PLANO PARENGIMO </w:t>
      </w:r>
    </w:p>
    <w:p>
      <w:pPr>
        <w:pStyle w:val="Normal"/>
        <w:spacing w:lineRule="auto" w:line="240"/>
        <w:ind w:hanging="0"/>
        <w:jc w:val="center"/>
        <w:rPr>
          <w:rFonts w:ascii="Arial" w:hAnsi="Arial" w:cs="Arial"/>
          <w:sz w:val="24"/>
          <w:szCs w:val="24"/>
        </w:rPr>
      </w:pPr>
      <w:r>
        <w:rPr>
          <w:rFonts w:cs="Arial" w:ascii="Arial" w:hAnsi="Arial"/>
          <w:sz w:val="24"/>
          <w:szCs w:val="24"/>
        </w:rPr>
        <w:t>2026 m. ____________________ d.</w:t>
      </w:r>
    </w:p>
    <w:p>
      <w:pPr>
        <w:pStyle w:val="Normal"/>
        <w:spacing w:lineRule="auto" w:line="240"/>
        <w:jc w:val="center"/>
        <w:rPr>
          <w:rFonts w:ascii="Arial" w:hAnsi="Arial" w:cs="Arial"/>
          <w:sz w:val="24"/>
          <w:szCs w:val="24"/>
        </w:rPr>
      </w:pPr>
      <w:r>
        <w:rPr>
          <w:rFonts w:cs="Arial" w:ascii="Arial" w:hAnsi="Arial"/>
          <w:sz w:val="24"/>
          <w:szCs w:val="24"/>
        </w:rPr>
      </w:r>
    </w:p>
    <w:p>
      <w:pPr>
        <w:pStyle w:val="Normal"/>
        <w:spacing w:lineRule="auto" w:line="240"/>
        <w:rPr>
          <w:rFonts w:ascii="Arial" w:hAnsi="Arial" w:cs="Arial"/>
          <w:b/>
          <w:bCs/>
          <w:sz w:val="24"/>
          <w:szCs w:val="24"/>
        </w:rPr>
      </w:pPr>
      <w:r>
        <w:rPr>
          <w:rFonts w:cs="Arial" w:ascii="Arial" w:hAnsi="Arial"/>
          <w:b/>
          <w:bCs/>
          <w:sz w:val="24"/>
          <w:szCs w:val="24"/>
        </w:rPr>
      </w:r>
    </w:p>
    <w:p>
      <w:pPr>
        <w:pStyle w:val="Normal"/>
        <w:spacing w:lineRule="auto" w:line="240"/>
        <w:ind w:hanging="0"/>
        <w:rPr>
          <w:rFonts w:ascii="Arial" w:hAnsi="Arial" w:cs="Arial"/>
          <w:sz w:val="24"/>
          <w:szCs w:val="24"/>
          <w:u w:val="single"/>
        </w:rPr>
      </w:pPr>
      <w:r>
        <w:rPr>
          <w:rFonts w:cs="Arial" w:ascii="Arial" w:hAnsi="Arial"/>
          <w:sz w:val="24"/>
          <w:szCs w:val="24"/>
          <w:u w:val="single"/>
        </w:rPr>
        <w:t>Prienų rajono savivaldybės administracijai</w:t>
      </w:r>
    </w:p>
    <w:p>
      <w:pPr>
        <w:pStyle w:val="Normal"/>
        <w:spacing w:lineRule="auto" w:line="240"/>
        <w:ind w:hanging="0"/>
        <w:rPr>
          <w:rFonts w:ascii="Arial" w:hAnsi="Arial" w:cs="Arial"/>
          <w:sz w:val="24"/>
          <w:szCs w:val="24"/>
          <w:u w:val="single"/>
        </w:rPr>
      </w:pPr>
      <w:r>
        <w:rPr>
          <w:rFonts w:cs="Arial" w:ascii="Arial" w:hAnsi="Arial"/>
          <w:sz w:val="24"/>
          <w:szCs w:val="24"/>
          <w:u w:val="single"/>
        </w:rPr>
      </w:r>
    </w:p>
    <w:p>
      <w:pPr>
        <w:pStyle w:val="Normal"/>
        <w:spacing w:lineRule="auto" w:line="240"/>
        <w:ind w:firstLine="567"/>
        <w:rPr>
          <w:rFonts w:ascii="Arial" w:hAnsi="Arial" w:cs="Arial"/>
          <w:sz w:val="24"/>
          <w:szCs w:val="24"/>
        </w:rPr>
      </w:pPr>
      <w:r>
        <w:rPr>
          <w:rFonts w:cs="Arial" w:ascii="Arial" w:hAnsi="Arial"/>
          <w:b/>
          <w:sz w:val="24"/>
          <w:szCs w:val="24"/>
        </w:rPr>
        <w:t>1. Informacija apie tiekėją</w:t>
      </w:r>
    </w:p>
    <w:tbl>
      <w:tblPr>
        <w:tblW w:w="10260" w:type="dxa"/>
        <w:jc w:val="left"/>
        <w:tblInd w:w="18" w:type="dxa"/>
        <w:tblLayout w:type="fixed"/>
        <w:tblCellMar>
          <w:top w:w="0" w:type="dxa"/>
          <w:left w:w="108" w:type="dxa"/>
          <w:bottom w:w="0" w:type="dxa"/>
          <w:right w:w="108" w:type="dxa"/>
        </w:tblCellMar>
        <w:tblLook w:firstRow="1" w:noVBand="1" w:lastRow="0" w:firstColumn="1" w:lastColumn="0" w:noHBand="0" w:val="04a0"/>
      </w:tblPr>
      <w:tblGrid>
        <w:gridCol w:w="5669"/>
        <w:gridCol w:w="4590"/>
      </w:tblGrid>
      <w:tr>
        <w:trPr>
          <w:trHeight w:val="195" w:hRule="atLeast"/>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r>
        <w:trPr/>
        <w:tc>
          <w:tcPr>
            <w:tcW w:w="5669" w:type="dxa"/>
            <w:tcBorders>
              <w:top w:val="single" w:sz="4" w:space="0" w:color="000000"/>
              <w:left w:val="single" w:sz="4" w:space="0" w:color="000000"/>
              <w:bottom w:val="single" w:sz="4" w:space="0" w:color="000000"/>
              <w:right w:val="single" w:sz="4" w:space="0" w:color="000000"/>
            </w:tcBorders>
          </w:tcPr>
          <w:p>
            <w:pPr>
              <w:pStyle w:val="Normal"/>
              <w:spacing w:lineRule="auto" w:line="240"/>
              <w:ind w:hanging="0"/>
              <w:rPr>
                <w:rFonts w:ascii="Arial" w:hAnsi="Arial" w:cs="Arial"/>
                <w:sz w:val="24"/>
                <w:szCs w:val="24"/>
              </w:rPr>
            </w:pPr>
            <w:r>
              <w:rPr>
                <w:rFonts w:cs="Arial" w:ascii="Arial" w:hAnsi="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pPr>
              <w:pStyle w:val="Normal"/>
              <w:spacing w:lineRule="auto" w:line="240"/>
              <w:rPr>
                <w:rFonts w:ascii="Arial" w:hAnsi="Arial" w:cs="Arial"/>
                <w:sz w:val="24"/>
                <w:szCs w:val="24"/>
              </w:rPr>
            </w:pPr>
            <w:r>
              <w:rPr>
                <w:rFonts w:cs="Arial" w:ascii="Arial" w:hAnsi="Arial"/>
                <w:sz w:val="24"/>
                <w:szCs w:val="24"/>
              </w:rPr>
            </w:r>
          </w:p>
        </w:tc>
      </w:tr>
    </w:tbl>
    <w:p>
      <w:pPr>
        <w:pStyle w:val="Normal"/>
        <w:spacing w:lineRule="auto" w:line="240"/>
        <w:ind w:firstLine="567"/>
        <w:rPr>
          <w:rFonts w:ascii="Arial" w:hAnsi="Arial" w:cs="Arial"/>
          <w:sz w:val="24"/>
          <w:szCs w:val="24"/>
        </w:rPr>
      </w:pPr>
      <w:r>
        <w:rPr>
          <w:rFonts w:cs="Arial" w:ascii="Arial" w:hAnsi="Arial"/>
          <w:sz w:val="24"/>
          <w:szCs w:val="24"/>
        </w:rPr>
      </w:r>
    </w:p>
    <w:p>
      <w:pPr>
        <w:pStyle w:val="Normal"/>
        <w:spacing w:lineRule="auto" w:line="240"/>
        <w:ind w:firstLine="567"/>
        <w:rPr>
          <w:rFonts w:ascii="Arial" w:hAnsi="Arial" w:cs="Arial"/>
          <w:sz w:val="24"/>
          <w:szCs w:val="24"/>
        </w:rPr>
      </w:pPr>
      <w:r>
        <w:rPr>
          <w:rFonts w:cs="Arial" w:ascii="Arial" w:hAnsi="Arial"/>
          <w:sz w:val="24"/>
          <w:szCs w:val="24"/>
        </w:rPr>
        <w:t>1.1. Šiuo pasiūlymu pažymime, kad sutinkame su visomis pirkimo sąlygomis, nustatytomis:</w:t>
      </w:r>
    </w:p>
    <w:p>
      <w:pPr>
        <w:pStyle w:val="Normal"/>
        <w:spacing w:lineRule="auto" w:line="240"/>
        <w:ind w:firstLine="567"/>
        <w:rPr>
          <w:rFonts w:ascii="Arial" w:hAnsi="Arial" w:cs="Arial"/>
          <w:sz w:val="24"/>
          <w:szCs w:val="24"/>
        </w:rPr>
      </w:pPr>
      <w:r>
        <w:rPr>
          <w:rFonts w:cs="Arial" w:ascii="Arial" w:hAnsi="Arial"/>
          <w:sz w:val="24"/>
          <w:szCs w:val="24"/>
        </w:rPr>
        <w:t>1.1.1. skelbime apie pirkimą;</w:t>
      </w:r>
    </w:p>
    <w:p>
      <w:pPr>
        <w:pStyle w:val="Normal"/>
        <w:spacing w:lineRule="auto" w:line="240"/>
        <w:ind w:firstLine="567"/>
        <w:rPr>
          <w:rFonts w:ascii="Arial" w:hAnsi="Arial" w:cs="Arial"/>
          <w:sz w:val="24"/>
          <w:szCs w:val="24"/>
        </w:rPr>
      </w:pPr>
      <w:r>
        <w:rPr>
          <w:rFonts w:cs="Arial" w:ascii="Arial" w:hAnsi="Arial"/>
          <w:sz w:val="24"/>
          <w:szCs w:val="24"/>
        </w:rPr>
        <w:t>1.1.2. skelbiamos apklausos bendrosiose ir specialiosiose sąlygose (kartu su priedais);</w:t>
      </w:r>
    </w:p>
    <w:p>
      <w:pPr>
        <w:pStyle w:val="Normal"/>
        <w:spacing w:lineRule="auto" w:line="240"/>
        <w:ind w:firstLine="567"/>
        <w:rPr>
          <w:rFonts w:ascii="Arial" w:hAnsi="Arial" w:cs="Arial"/>
          <w:sz w:val="24"/>
          <w:szCs w:val="24"/>
        </w:rPr>
      </w:pPr>
      <w:r>
        <w:rPr>
          <w:rFonts w:cs="Arial" w:ascii="Arial" w:hAnsi="Arial"/>
          <w:sz w:val="24"/>
          <w:szCs w:val="24"/>
        </w:rPr>
        <w:t>1.1.3. dokumentų paaiškinimuose (patikslinimuose), taip pat atsakymuose į tiekėjų klausimus (jei tokių bus);</w:t>
      </w:r>
    </w:p>
    <w:p>
      <w:pPr>
        <w:pStyle w:val="Normal"/>
        <w:spacing w:lineRule="auto" w:line="240"/>
        <w:ind w:firstLine="567"/>
        <w:rPr>
          <w:rFonts w:ascii="Arial" w:hAnsi="Arial" w:cs="Arial"/>
          <w:sz w:val="24"/>
          <w:szCs w:val="24"/>
        </w:rPr>
      </w:pPr>
      <w:r>
        <w:rPr>
          <w:rFonts w:cs="Arial" w:ascii="Arial" w:hAnsi="Arial"/>
          <w:sz w:val="24"/>
          <w:szCs w:val="24"/>
        </w:rPr>
        <w:t>1.1.4. kituose CVP IS priemonėmis pateiktuose dokumentuose.</w:t>
      </w:r>
    </w:p>
    <w:p>
      <w:pPr>
        <w:pStyle w:val="Normal"/>
        <w:spacing w:lineRule="auto" w:line="240"/>
        <w:ind w:firstLine="567"/>
        <w:rPr>
          <w:rFonts w:ascii="Arial" w:hAnsi="Arial" w:cs="Arial"/>
          <w:sz w:val="24"/>
          <w:szCs w:val="24"/>
        </w:rPr>
      </w:pPr>
      <w:r>
        <w:rPr>
          <w:rFonts w:cs="Arial" w:ascii="Arial" w:hAnsi="Arial"/>
          <w:sz w:val="24"/>
          <w:szCs w:val="24"/>
        </w:rPr>
        <w:t>1.2. Pateikdami CVP IS priemonėmis pasiūlymą, patvirtiname, kad dokumentų skaitmeninės kopijos ir elektroninėmis priemonėmis pateikti duomenys yra tikri.</w:t>
      </w:r>
    </w:p>
    <w:p>
      <w:pPr>
        <w:pStyle w:val="Normal"/>
        <w:spacing w:lineRule="auto" w:line="240"/>
        <w:ind w:firstLine="567"/>
        <w:rPr>
          <w:rFonts w:ascii="Arial" w:hAnsi="Arial" w:cs="Arial"/>
          <w:sz w:val="24"/>
          <w:szCs w:val="24"/>
        </w:rPr>
      </w:pPr>
      <w:r>
        <w:rPr>
          <w:rFonts w:cs="Arial" w:ascii="Arial" w:hAnsi="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ind w:firstLine="567"/>
        <w:rPr>
          <w:rFonts w:ascii="Arial" w:hAnsi="Arial" w:cs="Arial"/>
          <w:sz w:val="24"/>
          <w:szCs w:val="24"/>
        </w:rPr>
      </w:pPr>
      <w:r>
        <w:rPr>
          <w:rFonts w:cs="Arial" w:ascii="Arial" w:hAnsi="Arial"/>
          <w:sz w:val="24"/>
          <w:szCs w:val="24"/>
        </w:rPr>
      </w:r>
    </w:p>
    <w:p>
      <w:pPr>
        <w:pStyle w:val="Normal"/>
        <w:spacing w:lineRule="auto" w:line="240"/>
        <w:ind w:firstLine="567"/>
        <w:rPr>
          <w:rFonts w:ascii="Arial" w:hAnsi="Arial" w:cs="Arial"/>
          <w:b/>
          <w:sz w:val="24"/>
          <w:szCs w:val="24"/>
        </w:rPr>
      </w:pPr>
      <w:r>
        <w:rPr>
          <w:rFonts w:cs="Arial" w:ascii="Arial" w:hAnsi="Arial"/>
          <w:b/>
          <w:sz w:val="24"/>
          <w:szCs w:val="24"/>
        </w:rPr>
        <w:t xml:space="preserve">2. Pasiūlymo kaina </w:t>
      </w:r>
    </w:p>
    <w:tbl>
      <w:tblPr>
        <w:tblW w:w="4950" w:type="pct"/>
        <w:jc w:val="center"/>
        <w:tblInd w:w="0" w:type="dxa"/>
        <w:tblLayout w:type="fixed"/>
        <w:tblCellMar>
          <w:top w:w="0" w:type="dxa"/>
          <w:left w:w="40" w:type="dxa"/>
          <w:bottom w:w="0" w:type="dxa"/>
          <w:right w:w="40" w:type="dxa"/>
        </w:tblCellMar>
        <w:tblLook w:firstRow="0" w:noVBand="0" w:lastRow="0" w:firstColumn="0" w:lastColumn="0" w:noHBand="0" w:val="0000"/>
      </w:tblPr>
      <w:tblGrid>
        <w:gridCol w:w="546"/>
        <w:gridCol w:w="7954"/>
        <w:gridCol w:w="2102"/>
      </w:tblGrid>
      <w:tr>
        <w:trPr>
          <w:trHeight w:val="581" w:hRule="atLeast"/>
        </w:trPr>
        <w:tc>
          <w:tcPr>
            <w:tcW w:w="546" w:type="dxa"/>
            <w:tcBorders>
              <w:top w:val="single" w:sz="4" w:space="0" w:color="000000"/>
              <w:left w:val="single" w:sz="4" w:space="0" w:color="000000"/>
              <w:bottom w:val="single" w:sz="4" w:space="0" w:color="000000"/>
              <w:right w:val="single" w:sz="4" w:space="0" w:color="000000"/>
            </w:tcBorders>
            <w:shd w:color="FFFFFF" w:fill="auto" w:val="solid"/>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t>Eil. Nr.</w:t>
            </w:r>
          </w:p>
        </w:tc>
        <w:tc>
          <w:tcPr>
            <w:tcW w:w="79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rFonts w:ascii="Arial" w:hAnsi="Arial" w:eastAsia="SimSun" w:cs="Arial"/>
                <w:kern w:val="2"/>
                <w:sz w:val="24"/>
                <w:szCs w:val="24"/>
                <w:lang w:eastAsia="hi-IN" w:bidi="hi-IN"/>
              </w:rPr>
            </w:pPr>
            <w:r>
              <w:rPr>
                <w:rFonts w:eastAsia="Times New Roman" w:cs="Arial" w:ascii="Arial" w:hAnsi="Arial"/>
                <w:sz w:val="24"/>
                <w:szCs w:val="24"/>
              </w:rPr>
              <w:t>Paslaugų pavadinimas</w:t>
            </w:r>
          </w:p>
        </w:tc>
        <w:tc>
          <w:tcPr>
            <w:tcW w:w="21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40"/>
              <w:ind w:hanging="0"/>
              <w:jc w:val="center"/>
              <w:rPr>
                <w:rFonts w:ascii="Arial" w:hAnsi="Arial" w:eastAsia="SimSun" w:cs="Arial"/>
                <w:kern w:val="2"/>
                <w:sz w:val="24"/>
                <w:szCs w:val="24"/>
                <w:lang w:eastAsia="hi-IN" w:bidi="hi-IN"/>
              </w:rPr>
            </w:pPr>
            <w:r>
              <w:rPr>
                <w:rFonts w:eastAsia="SimSun" w:cs="Arial" w:ascii="Arial" w:hAnsi="Arial"/>
                <w:kern w:val="2"/>
                <w:sz w:val="24"/>
                <w:szCs w:val="24"/>
                <w:lang w:eastAsia="hi-IN" w:bidi="hi-IN"/>
              </w:rPr>
              <w:t>Kaina, Eur be PVM</w:t>
            </w:r>
          </w:p>
        </w:tc>
      </w:tr>
      <w:tr>
        <w:trPr>
          <w:trHeight w:val="464" w:hRule="atLeast"/>
        </w:trPr>
        <w:tc>
          <w:tcPr>
            <w:tcW w:w="546" w:type="dxa"/>
            <w:tcBorders>
              <w:top w:val="single" w:sz="4" w:space="0" w:color="000000"/>
              <w:left w:val="single" w:sz="4" w:space="0" w:color="000000"/>
              <w:bottom w:val="single" w:sz="4" w:space="0" w:color="000000"/>
              <w:right w:val="single" w:sz="4" w:space="0" w:color="000000"/>
            </w:tcBorders>
            <w:shd w:color="FFFFFF" w:fill="auto" w:val="solid"/>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t>1.</w:t>
            </w:r>
          </w:p>
        </w:tc>
        <w:tc>
          <w:tcPr>
            <w:tcW w:w="795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ind w:hanging="0" w:left="36"/>
              <w:rPr>
                <w:rFonts w:ascii="Arial" w:hAnsi="Arial" w:eastAsia="Times New Roman" w:cs="Arial"/>
                <w:sz w:val="24"/>
                <w:szCs w:val="24"/>
              </w:rPr>
            </w:pPr>
            <w:r>
              <w:rPr>
                <w:rFonts w:eastAsia="Calibri" w:cs="Arial" w:ascii="Arial" w:hAnsi="Arial"/>
                <w:color w:themeColor="text1" w:val="000000"/>
                <w:sz w:val="24"/>
                <w:szCs w:val="24"/>
              </w:rPr>
              <w:t>Prienų rajono savivaldybės gyvenamųjų vietovių panaikinimo, nustatymo ir pavadinimų suteikimo, teritorijų ribų nustatymo plano parengimas</w:t>
            </w:r>
          </w:p>
        </w:tc>
        <w:tc>
          <w:tcPr>
            <w:tcW w:w="210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r>
          </w:p>
        </w:tc>
      </w:tr>
      <w:tr>
        <w:trPr>
          <w:trHeight w:val="356" w:hRule="atLeast"/>
        </w:trPr>
        <w:tc>
          <w:tcPr>
            <w:tcW w:w="8500" w:type="dxa"/>
            <w:gridSpan w:val="2"/>
            <w:tcBorders>
              <w:top w:val="single" w:sz="4" w:space="0" w:color="000000"/>
              <w:left w:val="single" w:sz="4" w:space="0" w:color="000000"/>
              <w:bottom w:val="single" w:sz="4" w:space="0" w:color="000000"/>
              <w:right w:val="single" w:sz="4" w:space="0" w:color="000000"/>
            </w:tcBorders>
            <w:shd w:color="FFFFFF" w:fill="auto" w:val="solid"/>
            <w:vAlign w:val="center"/>
          </w:tcPr>
          <w:p>
            <w:pPr>
              <w:pStyle w:val="Normal"/>
              <w:widowControl w:val="false"/>
              <w:spacing w:lineRule="auto" w:line="240"/>
              <w:ind w:hanging="0"/>
              <w:jc w:val="right"/>
              <w:rPr>
                <w:rFonts w:ascii="Arial" w:hAnsi="Arial" w:eastAsia="Times New Roman" w:cs="Arial"/>
                <w:b/>
                <w:sz w:val="24"/>
                <w:szCs w:val="24"/>
              </w:rPr>
            </w:pPr>
            <w:r>
              <w:rPr>
                <w:rFonts w:eastAsia="Times New Roman" w:cs="Arial" w:ascii="Arial" w:hAnsi="Arial"/>
                <w:b/>
                <w:sz w:val="24"/>
                <w:szCs w:val="24"/>
              </w:rPr>
              <w:t>PVM (21 proc.) suma:</w:t>
            </w:r>
          </w:p>
        </w:tc>
        <w:tc>
          <w:tcPr>
            <w:tcW w:w="210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r>
          </w:p>
        </w:tc>
      </w:tr>
      <w:tr>
        <w:trPr>
          <w:trHeight w:val="356" w:hRule="atLeast"/>
        </w:trPr>
        <w:tc>
          <w:tcPr>
            <w:tcW w:w="8500" w:type="dxa"/>
            <w:gridSpan w:val="2"/>
            <w:tcBorders>
              <w:top w:val="single" w:sz="4" w:space="0" w:color="000000"/>
              <w:left w:val="single" w:sz="4" w:space="0" w:color="000000"/>
              <w:bottom w:val="single" w:sz="4" w:space="0" w:color="000000"/>
              <w:right w:val="single" w:sz="4" w:space="0" w:color="000000"/>
            </w:tcBorders>
            <w:shd w:color="FFFFFF" w:fill="auto" w:val="solid"/>
            <w:vAlign w:val="center"/>
          </w:tcPr>
          <w:p>
            <w:pPr>
              <w:pStyle w:val="Normal"/>
              <w:widowControl w:val="false"/>
              <w:spacing w:lineRule="auto" w:line="240"/>
              <w:ind w:hanging="0"/>
              <w:jc w:val="right"/>
              <w:rPr>
                <w:rFonts w:ascii="Arial" w:hAnsi="Arial" w:eastAsia="Times New Roman" w:cs="Arial"/>
                <w:b/>
                <w:sz w:val="24"/>
                <w:szCs w:val="24"/>
              </w:rPr>
            </w:pPr>
            <w:r>
              <w:rPr>
                <w:rFonts w:eastAsia="Times New Roman" w:cs="Arial" w:ascii="Arial" w:hAnsi="Arial"/>
                <w:b/>
                <w:sz w:val="24"/>
                <w:szCs w:val="24"/>
              </w:rPr>
              <w:t>Kaina iš viso su PVM:</w:t>
            </w:r>
          </w:p>
        </w:tc>
        <w:tc>
          <w:tcPr>
            <w:tcW w:w="210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ind w:hanging="0"/>
              <w:jc w:val="center"/>
              <w:rPr>
                <w:rFonts w:ascii="Arial" w:hAnsi="Arial" w:eastAsia="Times New Roman" w:cs="Arial"/>
                <w:sz w:val="24"/>
                <w:szCs w:val="24"/>
              </w:rPr>
            </w:pPr>
            <w:r>
              <w:rPr>
                <w:rFonts w:eastAsia="Times New Roman" w:cs="Arial" w:ascii="Arial" w:hAnsi="Arial"/>
                <w:sz w:val="24"/>
                <w:szCs w:val="24"/>
              </w:rPr>
            </w:r>
          </w:p>
        </w:tc>
      </w:tr>
    </w:tbl>
    <w:p>
      <w:pPr>
        <w:pStyle w:val="Normal"/>
        <w:spacing w:lineRule="auto" w:line="240"/>
        <w:ind w:hanging="0"/>
        <w:rPr>
          <w:rFonts w:ascii="Arial" w:hAnsi="Arial" w:cs="Arial"/>
          <w:sz w:val="20"/>
          <w:szCs w:val="20"/>
        </w:rPr>
      </w:pPr>
      <w:r>
        <w:rPr>
          <w:rFonts w:cs="Arial" w:ascii="Arial" w:hAnsi="Arial"/>
          <w:sz w:val="20"/>
          <w:szCs w:val="20"/>
        </w:rPr>
        <w:t>*</w:t>
      </w:r>
      <w:r>
        <w:rPr>
          <w:rFonts w:cs="Arial" w:ascii="Arial" w:hAnsi="Arial"/>
          <w:b/>
          <w:sz w:val="20"/>
          <w:szCs w:val="20"/>
        </w:rPr>
        <w:t>Pastaba</w:t>
      </w:r>
      <w:r>
        <w:rPr>
          <w:rFonts w:cs="Arial" w:ascii="Arial" w:hAnsi="Arial"/>
          <w:sz w:val="20"/>
          <w:szCs w:val="20"/>
        </w:rPr>
        <w:t>. Tais atvejais, kai pagal galiojančius teisės aktus tiekėjui nereikia mokėti PVM, jis atitinkamų skilčių nepildo ir nurodo priežastis, dėl kurių PVM nemoka: ______________________________ [nurodoma priežastis].</w:t>
      </w:r>
    </w:p>
    <w:p>
      <w:pPr>
        <w:pStyle w:val="Normal"/>
        <w:spacing w:lineRule="auto" w:line="240"/>
        <w:ind w:firstLine="630"/>
        <w:rPr>
          <w:rFonts w:ascii="Arial" w:hAnsi="Arial" w:cs="Arial"/>
          <w:b/>
          <w:i/>
          <w:i/>
          <w:sz w:val="24"/>
          <w:szCs w:val="24"/>
        </w:rPr>
      </w:pPr>
      <w:r>
        <w:rPr>
          <w:rFonts w:cs="Arial" w:ascii="Arial" w:hAnsi="Arial"/>
          <w:b/>
          <w:i/>
          <w:sz w:val="24"/>
          <w:szCs w:val="24"/>
        </w:rPr>
      </w:r>
    </w:p>
    <w:p>
      <w:pPr>
        <w:pStyle w:val="Normal"/>
        <w:spacing w:lineRule="auto" w:line="240"/>
        <w:ind w:firstLine="630"/>
        <w:rPr>
          <w:rFonts w:ascii="Arial" w:hAnsi="Arial" w:cs="Arial"/>
          <w:b/>
          <w:i/>
          <w:i/>
          <w:sz w:val="24"/>
          <w:szCs w:val="24"/>
        </w:rPr>
      </w:pPr>
      <w:r>
        <w:rPr>
          <w:rFonts w:cs="Arial" w:ascii="Arial" w:hAnsi="Arial"/>
          <w:b/>
          <w:i/>
          <w:sz w:val="24"/>
          <w:szCs w:val="24"/>
        </w:rPr>
        <w:t>Bendra Prienų rajono savivaldybės gyvenamųjų vietovių panaikinimo, nustatymo ir pavadinimų suteikimo, teritorijų ribų nustatymo plano parengimo pasiūlymo kaina yra _____________ (pasiūlymo kaina žodžiais) Eur su PVM.</w:t>
      </w:r>
    </w:p>
    <w:p>
      <w:pPr>
        <w:pStyle w:val="Normal"/>
        <w:spacing w:lineRule="auto" w:line="240"/>
        <w:ind w:firstLine="630"/>
        <w:rPr>
          <w:rFonts w:ascii="Arial" w:hAnsi="Arial" w:cs="Arial"/>
          <w:b/>
          <w:sz w:val="24"/>
          <w:szCs w:val="24"/>
        </w:rPr>
      </w:pPr>
      <w:r>
        <w:rPr>
          <w:rFonts w:cs="Arial" w:ascii="Arial" w:hAnsi="Arial"/>
          <w:b/>
          <w:sz w:val="24"/>
          <w:szCs w:val="24"/>
        </w:rPr>
      </w:r>
    </w:p>
    <w:p>
      <w:pPr>
        <w:pStyle w:val="Normal"/>
        <w:spacing w:lineRule="auto" w:line="240"/>
        <w:ind w:firstLine="630"/>
        <w:rPr>
          <w:rFonts w:ascii="Arial" w:hAnsi="Arial" w:cs="Arial"/>
          <w:sz w:val="24"/>
          <w:szCs w:val="24"/>
        </w:rPr>
      </w:pPr>
      <w:r>
        <w:rPr>
          <w:rFonts w:cs="Arial" w:ascii="Arial" w:hAnsi="Arial"/>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 Neįkainavus kurių nors paslaugų arba nenumačius išlaidų technologiškai būtiniems procesams atlikti, numatytiems pateiktoje techninėje dokumentacijoje, laikoma kad šiuos darbus pasiūlymą pateikęs dalyvis atlieka savo sąskaita.</w:t>
      </w:r>
    </w:p>
    <w:p>
      <w:pPr>
        <w:pStyle w:val="Normal"/>
        <w:spacing w:lineRule="auto" w:line="240"/>
        <w:ind w:firstLine="630"/>
        <w:rPr>
          <w:rFonts w:ascii="Arial" w:hAnsi="Arial" w:cs="Arial"/>
          <w:b/>
          <w:sz w:val="24"/>
          <w:szCs w:val="24"/>
        </w:rPr>
      </w:pPr>
      <w:r>
        <w:rPr>
          <w:rFonts w:cs="Arial" w:ascii="Arial" w:hAnsi="Arial"/>
          <w:b/>
          <w:sz w:val="24"/>
          <w:szCs w:val="24"/>
        </w:rPr>
      </w:r>
    </w:p>
    <w:p>
      <w:pPr>
        <w:pStyle w:val="Normal"/>
        <w:widowControl w:val="false"/>
        <w:spacing w:lineRule="auto" w:line="240"/>
        <w:ind w:firstLine="567"/>
        <w:rPr>
          <w:rFonts w:ascii="Arial" w:hAnsi="Arial" w:cs="Arial"/>
          <w:b/>
          <w:sz w:val="24"/>
          <w:szCs w:val="24"/>
        </w:rPr>
      </w:pPr>
      <w:r>
        <w:rPr>
          <w:rFonts w:cs="Arial" w:ascii="Arial" w:hAnsi="Arial"/>
          <w:b/>
          <w:sz w:val="24"/>
          <w:szCs w:val="24"/>
        </w:rPr>
        <w:t>3. Kartu su pasiūlymu pateikiami šie dokumentai:</w:t>
      </w:r>
    </w:p>
    <w:tbl>
      <w:tblPr>
        <w:tblW w:w="1054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5"/>
        <w:gridCol w:w="6813"/>
        <w:gridCol w:w="3060"/>
      </w:tblGrid>
      <w:tr>
        <w:trPr>
          <w:trHeight w:val="374" w:hRule="atLeast"/>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68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t>4. *Informacija apie kiekvieno tiekėjų grupės partnerio savo jėgomis numatomų atlikti darbų /suteikti paslaugų / pristatyti prekių dalies vertę:</w:t>
      </w:r>
    </w:p>
    <w:tbl>
      <w:tblPr>
        <w:tblW w:w="1054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5"/>
        <w:gridCol w:w="3212"/>
        <w:gridCol w:w="3601"/>
        <w:gridCol w:w="3059"/>
      </w:tblGrid>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Eil. Nr.</w:t>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Partnerio pavadinimas</w:t>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Numatomi atlikti įsipareigojimai</w:t>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Partnerio darbų/paslaugų/prekių dalies vertė pasiūlymo kainoje (%) arba Eur</w:t>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1.</w:t>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t>2.</w:t>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rFonts w:ascii="Arial" w:hAnsi="Arial" w:cs="Arial"/>
                <w:sz w:val="24"/>
                <w:szCs w:val="24"/>
              </w:rPr>
            </w:pPr>
            <w:r>
              <w:rPr>
                <w:rFonts w:cs="Arial" w:ascii="Arial" w:hAnsi="Arial"/>
                <w:sz w:val="24"/>
                <w:szCs w:val="24"/>
              </w:rPr>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ind w:hanging="0"/>
        <w:rPr>
          <w:rFonts w:ascii="Arial" w:hAnsi="Arial" w:cs="Arial"/>
          <w:b/>
          <w:sz w:val="24"/>
          <w:szCs w:val="24"/>
        </w:rPr>
      </w:pPr>
      <w:r>
        <w:rPr>
          <w:rFonts w:cs="Arial" w:ascii="Arial" w:hAnsi="Arial"/>
          <w:sz w:val="18"/>
          <w:szCs w:val="18"/>
        </w:rPr>
        <w:t>*Pildyti tuomet, kai pasiūlymą pateikia tiekėjų grupė.</w:t>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ind w:firstLine="567"/>
        <w:rPr>
          <w:rFonts w:ascii="Arial" w:hAnsi="Arial" w:cs="Arial"/>
          <w:b/>
          <w:sz w:val="24"/>
          <w:szCs w:val="24"/>
        </w:rPr>
      </w:pPr>
      <w:r>
        <w:rPr>
          <w:rFonts w:cs="Arial" w:ascii="Arial" w:hAnsi="Arial"/>
          <w:b/>
          <w:sz w:val="24"/>
          <w:szCs w:val="24"/>
        </w:rPr>
        <w:t>5. *Informacija apie subtiekėjus, kurie bus pasitelkiami vykdant sutartį:</w:t>
      </w:r>
    </w:p>
    <w:tbl>
      <w:tblPr>
        <w:tblW w:w="1054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5"/>
        <w:gridCol w:w="3212"/>
        <w:gridCol w:w="3601"/>
        <w:gridCol w:w="3059"/>
      </w:tblGrid>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Eil. Nr.</w:t>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Subtiekėjų pavadinimas, kodas, adresas</w:t>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Numatomi atlikti įsipareigojimai</w:t>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rFonts w:ascii="Arial" w:hAnsi="Arial" w:cs="Arial"/>
                <w:sz w:val="24"/>
                <w:szCs w:val="24"/>
              </w:rPr>
            </w:pPr>
            <w:r>
              <w:rPr>
                <w:rFonts w:cs="Arial" w:ascii="Arial" w:hAnsi="Arial"/>
                <w:sz w:val="24"/>
                <w:szCs w:val="24"/>
              </w:rPr>
              <w:t>Sutarties dalis pasiūlymo kainoje, kuriai ketinama pasitelkti subtiekėjus (%) arba Eur</w:t>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Arial" w:hAnsi="Arial" w:cs="Arial"/>
                <w:sz w:val="24"/>
                <w:szCs w:val="24"/>
              </w:rPr>
            </w:pPr>
            <w:r>
              <w:rPr>
                <w:rFonts w:cs="Arial" w:ascii="Arial" w:hAnsi="Arial"/>
                <w:sz w:val="24"/>
                <w:szCs w:val="24"/>
              </w:rPr>
            </w:r>
          </w:p>
        </w:tc>
        <w:tc>
          <w:tcPr>
            <w:tcW w:w="321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36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c>
          <w:tcPr>
            <w:tcW w:w="305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397"/>
                <w:tab w:val="left" w:pos="1296" w:leader="none"/>
                <w:tab w:val="center" w:pos="4153" w:leader="none"/>
                <w:tab w:val="right" w:pos="8306" w:leader="none"/>
              </w:tabs>
              <w:spacing w:lineRule="auto" w:line="240"/>
              <w:rPr>
                <w:rFonts w:ascii="Arial" w:hAnsi="Arial" w:cs="Arial"/>
                <w:sz w:val="24"/>
                <w:szCs w:val="24"/>
              </w:rPr>
            </w:pPr>
            <w:r>
              <w:rPr>
                <w:rFonts w:cs="Arial" w:ascii="Arial" w:hAnsi="Arial"/>
                <w:sz w:val="24"/>
                <w:szCs w:val="24"/>
              </w:rPr>
            </w:r>
          </w:p>
        </w:tc>
      </w:tr>
    </w:tbl>
    <w:p>
      <w:pPr>
        <w:pStyle w:val="Normal"/>
        <w:widowControl w:val="false"/>
        <w:spacing w:lineRule="auto" w:line="240"/>
        <w:ind w:hanging="0"/>
        <w:rPr>
          <w:rFonts w:ascii="Arial" w:hAnsi="Arial" w:cs="Arial"/>
          <w:sz w:val="18"/>
          <w:szCs w:val="18"/>
        </w:rPr>
      </w:pPr>
      <w:r>
        <w:rPr>
          <w:rFonts w:cs="Arial" w:ascii="Arial" w:hAnsi="Arial"/>
          <w:sz w:val="18"/>
          <w:szCs w:val="18"/>
        </w:rPr>
        <w:t>*Pildyti tuomet, jei sutarties vykdymui bus pasitelkti subtiekėjai.</w:t>
      </w:r>
    </w:p>
    <w:p>
      <w:pPr>
        <w:pStyle w:val="Normal"/>
        <w:widowControl w:val="false"/>
        <w:spacing w:lineRule="auto" w:line="240"/>
        <w:ind w:firstLine="720"/>
        <w:rPr>
          <w:rFonts w:ascii="Arial" w:hAnsi="Arial" w:cs="Arial"/>
          <w:bCs/>
          <w:sz w:val="24"/>
          <w:szCs w:val="24"/>
        </w:rPr>
      </w:pPr>
      <w:r>
        <w:rPr>
          <w:rFonts w:cs="Arial" w:ascii="Arial" w:hAnsi="Arial"/>
          <w:bCs/>
          <w:sz w:val="24"/>
          <w:szCs w:val="24"/>
        </w:rPr>
      </w:r>
    </w:p>
    <w:p>
      <w:pPr>
        <w:pStyle w:val="Standard"/>
        <w:spacing w:lineRule="auto" w:line="240" w:before="0" w:after="0"/>
        <w:ind w:firstLine="567"/>
        <w:jc w:val="both"/>
        <w:rPr>
          <w:rFonts w:ascii="Arial" w:hAnsi="Arial" w:cs="Arial"/>
          <w:sz w:val="24"/>
          <w:szCs w:val="24"/>
        </w:rPr>
      </w:pPr>
      <w:r>
        <w:rPr>
          <w:rFonts w:cs="Arial" w:ascii="Arial" w:hAnsi="Arial"/>
          <w:b/>
          <w:sz w:val="24"/>
          <w:szCs w:val="24"/>
        </w:rPr>
        <w:t xml:space="preserve">6. *Informacija apie ūkio subjektus, kurių pajėgumais bus remiamasi, ir kurie bus pasitelkiami vykdant sutartį: </w:t>
      </w:r>
    </w:p>
    <w:tbl>
      <w:tblPr>
        <w:tblW w:w="10553"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54"/>
        <w:gridCol w:w="3239"/>
        <w:gridCol w:w="3599"/>
        <w:gridCol w:w="3060"/>
      </w:tblGrid>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4"/>
                <w:szCs w:val="24"/>
              </w:rPr>
            </w:pPr>
            <w:r>
              <w:rPr>
                <w:rFonts w:cs="Arial" w:ascii="Arial" w:hAnsi="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t>Ūkio subjektų, kurių pajėgumais bus remiamasi, pavadinimas, kodas, adresas</w:t>
            </w:r>
          </w:p>
        </w:tc>
        <w:tc>
          <w:tcPr>
            <w:tcW w:w="359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4"/>
                <w:szCs w:val="24"/>
              </w:rPr>
            </w:pPr>
            <w:r>
              <w:rPr>
                <w:rFonts w:cs="Arial" w:ascii="Arial" w:hAnsi="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center"/>
              <w:rPr>
                <w:rFonts w:ascii="Arial" w:hAnsi="Arial" w:cs="Arial"/>
                <w:sz w:val="24"/>
                <w:szCs w:val="24"/>
              </w:rPr>
            </w:pPr>
            <w:r>
              <w:rPr>
                <w:rFonts w:cs="Arial" w:ascii="Arial" w:hAnsi="Arial"/>
                <w:sz w:val="24"/>
                <w:szCs w:val="24"/>
              </w:rPr>
              <w:t>Sutarties dalis pasiūlymo kainoje, kuriai ketinama pasitelkti ūkio subjektus, kurių pajėgumais bus remiamasi, (%) arba Eur</w:t>
            </w:r>
          </w:p>
        </w:tc>
      </w:tr>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06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cs="Arial"/>
                <w:sz w:val="24"/>
                <w:szCs w:val="24"/>
              </w:rPr>
            </w:pPr>
            <w:r>
              <w:rPr>
                <w:rFonts w:cs="Arial" w:ascii="Arial" w:hAnsi="Arial"/>
                <w:sz w:val="24"/>
                <w:szCs w:val="24"/>
              </w:rPr>
            </w:r>
          </w:p>
        </w:tc>
      </w:tr>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06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cs="Arial"/>
                <w:sz w:val="24"/>
                <w:szCs w:val="24"/>
              </w:rPr>
            </w:pPr>
            <w:r>
              <w:rPr>
                <w:rFonts w:cs="Arial" w:ascii="Arial" w:hAnsi="Arial"/>
                <w:sz w:val="24"/>
                <w:szCs w:val="24"/>
              </w:rPr>
            </w:r>
          </w:p>
        </w:tc>
      </w:tr>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23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599"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3060"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cs="Arial"/>
                <w:sz w:val="24"/>
                <w:szCs w:val="24"/>
              </w:rPr>
            </w:pPr>
            <w:r>
              <w:rPr>
                <w:rFonts w:cs="Arial" w:ascii="Arial" w:hAnsi="Arial"/>
                <w:sz w:val="24"/>
                <w:szCs w:val="24"/>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4"/>
          <w:szCs w:val="24"/>
        </w:rPr>
      </w:pPr>
      <w:r>
        <w:rPr>
          <w:rFonts w:cs="Arial" w:ascii="Arial" w:hAnsi="Arial"/>
          <w:sz w:val="24"/>
          <w:szCs w:val="24"/>
        </w:rPr>
      </w:r>
    </w:p>
    <w:p>
      <w:pPr>
        <w:pStyle w:val="Standard"/>
        <w:spacing w:lineRule="auto" w:line="240" w:before="0" w:after="0"/>
        <w:ind w:firstLine="567"/>
        <w:jc w:val="both"/>
        <w:rPr>
          <w:rFonts w:ascii="Arial" w:hAnsi="Arial" w:cs="Arial"/>
          <w:sz w:val="24"/>
          <w:szCs w:val="24"/>
        </w:rPr>
      </w:pPr>
      <w:r>
        <w:rPr>
          <w:rFonts w:cs="Arial" w:ascii="Arial" w:hAnsi="Arial"/>
          <w:b/>
          <w:sz w:val="24"/>
          <w:szCs w:val="24"/>
        </w:rPr>
        <w:t>7. **Šiame pasiūlyme yra pateikta ir konfidenciali informacija:</w:t>
      </w:r>
    </w:p>
    <w:tbl>
      <w:tblPr>
        <w:tblW w:w="10553"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54"/>
        <w:gridCol w:w="9898"/>
      </w:tblGrid>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4"/>
                <w:szCs w:val="24"/>
              </w:rPr>
            </w:pPr>
            <w:r>
              <w:rPr>
                <w:rFonts w:cs="Arial" w:ascii="Arial" w:hAnsi="Arial"/>
                <w:sz w:val="24"/>
                <w:szCs w:val="24"/>
              </w:rPr>
              <w:t>Eil. Nr.</w:t>
            </w:r>
          </w:p>
        </w:tc>
        <w:tc>
          <w:tcPr>
            <w:tcW w:w="98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t>Pateikto dokumento pavadinimas</w:t>
            </w:r>
          </w:p>
        </w:tc>
      </w:tr>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98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r>
      <w:tr>
        <w:trPr/>
        <w:tc>
          <w:tcPr>
            <w:tcW w:w="6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c>
          <w:tcPr>
            <w:tcW w:w="9898"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4"/>
                <w:szCs w:val="24"/>
              </w:rPr>
            </w:pPr>
            <w:r>
              <w:rPr>
                <w:rFonts w:cs="Arial" w:ascii="Arial" w:hAnsi="Arial"/>
                <w:sz w:val="24"/>
                <w:szCs w:val="24"/>
              </w:rPr>
            </w:r>
          </w:p>
        </w:tc>
      </w:tr>
    </w:tbl>
    <w:p>
      <w:pPr>
        <w:pStyle w:val="Standard"/>
        <w:spacing w:lineRule="auto" w:line="240" w:before="0" w:after="0"/>
        <w:jc w:val="both"/>
        <w:rPr>
          <w:rFonts w:ascii="Arial" w:hAnsi="Arial" w:cs="Arial"/>
          <w:sz w:val="20"/>
          <w:szCs w:val="20"/>
        </w:rPr>
      </w:pPr>
      <w:r>
        <w:rPr>
          <w:rFonts w:cs="Arial" w:ascii="Arial" w:hAnsi="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Arial"/>
          <w:sz w:val="20"/>
          <w:szCs w:val="20"/>
        </w:rPr>
      </w:pPr>
      <w:r>
        <w:rPr>
          <w:rFonts w:cs="Arial" w:ascii="Arial" w:hAnsi="Arial"/>
          <w:sz w:val="20"/>
          <w:szCs w:val="20"/>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Arial"/>
          <w:sz w:val="20"/>
          <w:szCs w:val="20"/>
        </w:rPr>
      </w:pPr>
      <w:r>
        <w:rPr>
          <w:rFonts w:cs="Arial" w:ascii="Arial" w:hAnsi="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Arial"/>
          <w:sz w:val="20"/>
          <w:szCs w:val="20"/>
        </w:rPr>
      </w:pPr>
      <w:r>
        <w:rPr>
          <w:rFonts w:cs="Arial" w:ascii="Arial" w:hAnsi="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Arial"/>
          <w:sz w:val="20"/>
          <w:szCs w:val="20"/>
        </w:rPr>
      </w:pPr>
      <w:r>
        <w:rPr>
          <w:rFonts w:cs="Arial" w:ascii="Arial" w:hAnsi="Arial"/>
          <w:sz w:val="20"/>
          <w:szCs w:val="20"/>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Arial"/>
          <w:sz w:val="20"/>
          <w:szCs w:val="20"/>
        </w:rPr>
      </w:pPr>
      <w:r>
        <w:rPr>
          <w:rFonts w:cs="Arial" w:ascii="Arial" w:hAnsi="Arial"/>
          <w:sz w:val="20"/>
          <w:szCs w:val="20"/>
        </w:rPr>
      </w:r>
    </w:p>
    <w:p>
      <w:pPr>
        <w:pStyle w:val="Textbody"/>
        <w:spacing w:lineRule="auto" w:line="240" w:before="0" w:after="0"/>
        <w:rPr>
          <w:rFonts w:ascii="Arial" w:hAnsi="Arial" w:cs="Arial"/>
          <w:sz w:val="24"/>
          <w:szCs w:val="24"/>
        </w:rPr>
      </w:pPr>
      <w:r>
        <w:rPr>
          <w:rFonts w:cs="Arial" w:ascii="Arial" w:hAnsi="Arial"/>
          <w:bCs/>
          <w:sz w:val="24"/>
          <w:szCs w:val="24"/>
        </w:rPr>
        <w:t>Pateikdami š</w:t>
      </w:r>
      <w:r>
        <w:rPr>
          <w:rFonts w:cs="Arial" w:ascii="Arial" w:hAnsi="Arial"/>
          <w:sz w:val="24"/>
          <w:szCs w:val="24"/>
        </w:rPr>
        <w:t>į pasiūlymą tvirtiname, kad:</w:t>
      </w:r>
    </w:p>
    <w:p>
      <w:pPr>
        <w:pStyle w:val="Textbody"/>
        <w:tabs>
          <w:tab w:val="clear" w:pos="397"/>
          <w:tab w:val="left" w:pos="900" w:leader="none"/>
        </w:tabs>
        <w:spacing w:lineRule="auto" w:line="240" w:before="0" w:after="0"/>
        <w:rPr>
          <w:rFonts w:ascii="Arial" w:hAnsi="Arial" w:cs="Arial"/>
          <w:sz w:val="24"/>
          <w:szCs w:val="24"/>
        </w:rPr>
      </w:pPr>
      <w:r>
        <w:rPr>
          <w:rFonts w:cs="Arial" w:ascii="Arial" w:hAnsi="Arial"/>
          <w:sz w:val="24"/>
          <w:szCs w:val="24"/>
        </w:rPr>
        <w:t>1)</w:t>
        <w:tab/>
        <w:t>pasiūlymas galioja 90 kalendorių dienų nuo paskutinės pasiūlymo pateikimo dienos, neįskaitant paskutinės pasiūlymo pateikimo dienos;</w:t>
      </w:r>
    </w:p>
    <w:p>
      <w:pPr>
        <w:pStyle w:val="Textbody"/>
        <w:tabs>
          <w:tab w:val="clear" w:pos="397"/>
          <w:tab w:val="left" w:pos="900" w:leader="none"/>
        </w:tabs>
        <w:spacing w:lineRule="auto" w:line="240" w:before="0" w:after="0"/>
        <w:rPr>
          <w:rFonts w:ascii="Arial" w:hAnsi="Arial" w:cs="Arial"/>
          <w:sz w:val="24"/>
          <w:szCs w:val="24"/>
        </w:rPr>
      </w:pPr>
      <w:r>
        <w:rPr>
          <w:rFonts w:cs="Arial" w:ascii="Arial" w:hAnsi="Arial"/>
          <w:sz w:val="24"/>
          <w:szCs w:val="24"/>
        </w:rPr>
        <w:t>2)</w:t>
        <w:tab/>
        <w:t>sutinkame su visomis pirkimo dokumentuose, jų paaiškinimuose, papildymuose nustatytomis sąlygomis;</w:t>
      </w:r>
    </w:p>
    <w:p>
      <w:pPr>
        <w:pStyle w:val="Textbody"/>
        <w:tabs>
          <w:tab w:val="clear" w:pos="397"/>
          <w:tab w:val="left" w:pos="900" w:leader="none"/>
        </w:tabs>
        <w:spacing w:lineRule="auto" w:line="240" w:before="0" w:after="0"/>
        <w:rPr>
          <w:rFonts w:ascii="Arial" w:hAnsi="Arial" w:cs="Arial"/>
          <w:sz w:val="24"/>
          <w:szCs w:val="24"/>
        </w:rPr>
      </w:pPr>
      <w:r>
        <w:rPr>
          <w:rFonts w:cs="Arial" w:ascii="Arial" w:hAnsi="Arial"/>
          <w:sz w:val="24"/>
          <w:szCs w:val="24"/>
        </w:rPr>
        <w:t>3)</w:t>
        <w:tab/>
        <w:t>visa pasiūlyme pateikta informacija yra teisinga ir nenuslėpėme jokios informacijos, kurią buvo prašoma pateikti pirkimo dokumentuose;</w:t>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t>4)</w:t>
        <w:tab/>
        <w:t>suprantame, kad išaiškėjus aukščiau nurodytoms aplinkybėms būsime pašalinti iš šio pirkimo ir mūsų pateiktas pasiūlymas bus atmestas.</w:t>
      </w:r>
    </w:p>
    <w:p>
      <w:pPr>
        <w:pStyle w:val="Normal"/>
        <w:tabs>
          <w:tab w:val="clear" w:pos="397"/>
          <w:tab w:val="left" w:pos="851" w:leader="none"/>
        </w:tabs>
        <w:spacing w:lineRule="auto" w:line="240"/>
        <w:ind w:firstLine="567"/>
        <w:rPr>
          <w:rFonts w:ascii="Arial" w:hAnsi="Arial" w:cs="Arial"/>
          <w:sz w:val="24"/>
          <w:szCs w:val="24"/>
        </w:rPr>
      </w:pPr>
      <w:r>
        <w:rPr>
          <w:rFonts w:cs="Arial" w:ascii="Arial" w:hAnsi="Arial"/>
          <w:sz w:val="24"/>
          <w:szCs w:val="24"/>
        </w:rPr>
      </w:r>
    </w:p>
    <w:p>
      <w:pPr>
        <w:pStyle w:val="Normal"/>
        <w:tabs>
          <w:tab w:val="clear" w:pos="397"/>
          <w:tab w:val="left" w:pos="851" w:leader="none"/>
        </w:tabs>
        <w:spacing w:lineRule="auto" w:line="240"/>
        <w:ind w:firstLine="567"/>
        <w:jc w:val="center"/>
        <w:rPr>
          <w:rFonts w:ascii="Arial" w:hAnsi="Arial" w:cs="Arial"/>
          <w:sz w:val="24"/>
          <w:szCs w:val="24"/>
        </w:rPr>
      </w:pPr>
      <w:r>
        <w:rPr>
          <w:rFonts w:cs="Arial" w:ascii="Arial" w:hAnsi="Arial"/>
          <w:sz w:val="24"/>
          <w:szCs w:val="24"/>
        </w:rPr>
        <w:t>__________________</w:t>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110"/>
        <w:jc w:val="left"/>
        <w:rPr>
          <w:rFonts w:ascii="Arial" w:hAnsi="Arial" w:cs="Arial"/>
          <w:sz w:val="24"/>
          <w:szCs w:val="24"/>
        </w:rPr>
      </w:pPr>
      <w:r>
        <w:rPr>
          <w:rFonts w:cs="Arial" w:ascii="Arial" w:hAnsi="Arial"/>
          <w:sz w:val="24"/>
          <w:szCs w:val="24"/>
        </w:rPr>
      </w:r>
    </w:p>
    <w:p>
      <w:pPr>
        <w:pStyle w:val="Normal"/>
        <w:spacing w:lineRule="auto" w:line="240"/>
        <w:ind w:hanging="0" w:left="7380"/>
        <w:jc w:val="left"/>
        <w:rPr>
          <w:rFonts w:ascii="Arial" w:hAnsi="Arial" w:cs="Arial"/>
          <w:sz w:val="24"/>
          <w:szCs w:val="24"/>
        </w:rPr>
      </w:pPr>
      <w:r>
        <w:rPr>
          <w:rFonts w:cs="Arial" w:ascii="Arial" w:hAnsi="Arial"/>
          <w:sz w:val="24"/>
          <w:szCs w:val="24"/>
        </w:rPr>
        <w:t>Pirkimo sąlygų 5 priedas „Pasiūlymų vertinimo kriterijai ir sąlygos“</w:t>
      </w:r>
    </w:p>
    <w:p>
      <w:pPr>
        <w:pStyle w:val="Normal"/>
        <w:spacing w:lineRule="auto" w:line="240"/>
        <w:ind w:hanging="0" w:left="7314"/>
        <w:rPr>
          <w:rFonts w:ascii="Arial" w:hAnsi="Arial" w:cs="Arial"/>
          <w:sz w:val="24"/>
          <w:szCs w:val="24"/>
        </w:rPr>
      </w:pPr>
      <w:r>
        <w:rPr>
          <w:rFonts w:cs="Arial" w:ascii="Arial" w:hAnsi="Arial"/>
          <w:sz w:val="24"/>
          <w:szCs w:val="24"/>
        </w:rPr>
      </w:r>
    </w:p>
    <w:p>
      <w:pPr>
        <w:pStyle w:val="Normal"/>
        <w:jc w:val="center"/>
        <w:rPr>
          <w:rFonts w:ascii="Arial" w:hAnsi="Arial" w:cs="Arial"/>
          <w:b/>
          <w:sz w:val="24"/>
          <w:szCs w:val="24"/>
        </w:rPr>
      </w:pPr>
      <w:r>
        <w:rPr>
          <w:rFonts w:cs="Arial" w:ascii="Arial" w:hAnsi="Arial"/>
          <w:b/>
          <w:sz w:val="24"/>
          <w:szCs w:val="24"/>
        </w:rPr>
      </w:r>
    </w:p>
    <w:p>
      <w:pPr>
        <w:pStyle w:val="Subtitle"/>
        <w:jc w:val="center"/>
        <w:rPr>
          <w:rFonts w:ascii="Arial" w:hAnsi="Arial" w:cs="Arial"/>
          <w:bCs/>
          <w:smallCaps/>
        </w:rPr>
      </w:pPr>
      <w:r>
        <w:rPr>
          <w:rFonts w:cs="Arial" w:ascii="Arial" w:hAnsi="Arial"/>
        </w:rPr>
        <w:t>PASIŪLYMŲ VERTINIMO KRITERIJAI ir Sąlygos</w:t>
      </w:r>
    </w:p>
    <w:p>
      <w:pPr>
        <w:pStyle w:val="ListParagraph"/>
        <w:numPr>
          <w:ilvl w:val="0"/>
          <w:numId w:val="2"/>
        </w:numPr>
        <w:tabs>
          <w:tab w:val="clear" w:pos="397"/>
          <w:tab w:val="left" w:pos="851" w:leader="none"/>
          <w:tab w:val="left" w:pos="1276" w:leader="none"/>
        </w:tabs>
        <w:suppressAutoHyphens w:val="false"/>
        <w:spacing w:lineRule="auto" w:line="240"/>
        <w:ind w:firstLine="567" w:left="0"/>
        <w:rPr>
          <w:rFonts w:ascii="Arial" w:hAnsi="Arial" w:cs="Arial"/>
          <w:sz w:val="24"/>
          <w:szCs w:val="24"/>
        </w:rPr>
      </w:pPr>
      <w:r>
        <w:rPr>
          <w:rFonts w:cs="Arial" w:ascii="Arial" w:hAnsi="Arial"/>
          <w:sz w:val="24"/>
          <w:szCs w:val="24"/>
        </w:rPr>
        <w:t xml:space="preserve">Perkančioji organizacija ekonomiškai naudingiausią pasiūlymą išrenka pagal </w:t>
      </w:r>
      <w:r>
        <w:rPr>
          <w:rFonts w:cs="Arial" w:ascii="Arial" w:hAnsi="Arial"/>
          <w:b/>
          <w:bCs/>
          <w:sz w:val="24"/>
          <w:szCs w:val="24"/>
        </w:rPr>
        <w:t>kainą</w:t>
      </w:r>
      <w:r>
        <w:rPr>
          <w:rFonts w:cs="Arial" w:ascii="Arial" w:hAnsi="Arial"/>
          <w:sz w:val="24"/>
          <w:szCs w:val="24"/>
        </w:rPr>
        <w:t>.</w:t>
      </w:r>
      <w:r>
        <w:rPr>
          <w:rFonts w:eastAsia="Times New Roman" w:cs="Arial" w:ascii="Arial" w:hAnsi="Arial"/>
          <w:sz w:val="24"/>
          <w:szCs w:val="24"/>
          <w:lang w:eastAsia="en-US"/>
        </w:rPr>
        <w:t xml:space="preserve"> Ekonomiškai naudingiausiu pasiūlymu laikomas mažiausios kainos pasiūlymas.</w:t>
      </w:r>
      <w:r>
        <w:rPr>
          <w:rFonts w:cs="Arial" w:ascii="Arial" w:hAnsi="Arial"/>
          <w:sz w:val="24"/>
          <w:szCs w:val="24"/>
        </w:rPr>
        <w:t xml:space="preserve"> </w:t>
      </w:r>
    </w:p>
    <w:p>
      <w:pPr>
        <w:pStyle w:val="ListParagraph"/>
        <w:numPr>
          <w:ilvl w:val="0"/>
          <w:numId w:val="2"/>
        </w:numPr>
        <w:tabs>
          <w:tab w:val="clear" w:pos="397"/>
          <w:tab w:val="left" w:pos="851" w:leader="none"/>
          <w:tab w:val="left" w:pos="1276" w:leader="none"/>
        </w:tabs>
        <w:suppressAutoHyphens w:val="false"/>
        <w:spacing w:lineRule="auto" w:line="240"/>
        <w:ind w:firstLine="567" w:left="0"/>
        <w:rPr>
          <w:rFonts w:ascii="Arial" w:hAnsi="Arial" w:cs="Arial"/>
          <w:sz w:val="24"/>
          <w:szCs w:val="24"/>
        </w:rPr>
      </w:pPr>
      <w:r>
        <w:rPr>
          <w:rFonts w:cs="Arial" w:ascii="Arial" w:hAnsi="Arial"/>
          <w:sz w:val="24"/>
          <w:szCs w:val="24"/>
        </w:rPr>
        <w:t>Bendrieji pasiūlymų vertinimo principai išdėstyti Bendrųjų pirkimo sąlygų 13 skyriuje ir Specialiųjų pirkimo sąlygų 7 skyriuje.</w:t>
      </w:r>
    </w:p>
    <w:p>
      <w:pPr>
        <w:pStyle w:val="ListParagraph"/>
        <w:tabs>
          <w:tab w:val="clear" w:pos="397"/>
          <w:tab w:val="left" w:pos="851" w:leader="none"/>
        </w:tabs>
        <w:spacing w:lineRule="auto" w:line="240"/>
        <w:ind w:firstLine="697" w:left="567"/>
        <w:rPr>
          <w:rFonts w:ascii="Arial" w:hAnsi="Arial" w:cs="Arial"/>
          <w:sz w:val="24"/>
          <w:szCs w:val="24"/>
        </w:rPr>
      </w:pPr>
      <w:r>
        <w:rPr>
          <w:rFonts w:cs="Arial" w:ascii="Arial" w:hAnsi="Arial"/>
          <w:sz w:val="24"/>
          <w:szCs w:val="24"/>
        </w:rPr>
      </w:r>
    </w:p>
    <w:p>
      <w:pPr>
        <w:pStyle w:val="NoSpacing"/>
        <w:spacing w:lineRule="auto" w:line="300" w:before="0" w:after="0"/>
        <w:ind w:hanging="0"/>
        <w:contextualSpacing/>
        <w:jc w:val="center"/>
        <w:rPr>
          <w:rFonts w:ascii="Arial" w:hAnsi="Arial" w:eastAsia="Calibri" w:cs="Arial" w:eastAsiaTheme="minorHAnsi"/>
          <w:bCs/>
          <w:iCs/>
          <w:sz w:val="24"/>
          <w:szCs w:val="24"/>
        </w:rPr>
      </w:pPr>
      <w:r>
        <w:rPr>
          <w:rFonts w:eastAsia="Calibri" w:cs="Arial" w:ascii="Arial" w:hAnsi="Arial" w:eastAsiaTheme="minorHAnsi"/>
          <w:bCs/>
          <w:iCs/>
          <w:sz w:val="24"/>
          <w:szCs w:val="24"/>
        </w:rPr>
        <w:t>__________________</w:t>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Spacing"/>
        <w:spacing w:lineRule="auto" w:line="300" w:before="0" w:after="0"/>
        <w:ind w:hanging="0"/>
        <w:contextualSpacing/>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rmal"/>
        <w:spacing w:lineRule="auto" w:line="240"/>
        <w:ind w:hanging="0" w:left="7740"/>
        <w:rPr>
          <w:rFonts w:ascii="Arial" w:hAnsi="Arial" w:cs="Arial"/>
          <w:sz w:val="24"/>
          <w:szCs w:val="24"/>
        </w:rPr>
      </w:pPr>
      <w:r>
        <w:rPr>
          <w:rFonts w:cs="Arial" w:ascii="Arial" w:hAnsi="Arial"/>
          <w:sz w:val="24"/>
          <w:szCs w:val="24"/>
        </w:rPr>
        <w:t>Pirkimo sąlygų 6 priedas „Sutarties projektas“</w:t>
      </w:r>
    </w:p>
    <w:p>
      <w:pPr>
        <w:pStyle w:val="Normal"/>
        <w:spacing w:lineRule="auto" w:line="240"/>
        <w:ind w:hanging="0" w:left="7110"/>
        <w:rPr>
          <w:rFonts w:ascii="Arial" w:hAnsi="Arial" w:cs="Arial"/>
          <w:sz w:val="24"/>
          <w:szCs w:val="24"/>
        </w:rPr>
      </w:pPr>
      <w:r>
        <w:rPr>
          <w:rFonts w:cs="Arial" w:ascii="Arial" w:hAnsi="Arial"/>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spacing w:lineRule="auto" w:line="240"/>
        <w:ind w:firstLine="720"/>
        <w:rPr>
          <w:rFonts w:ascii="Arial" w:hAnsi="Arial" w:cs="Arial"/>
          <w:i/>
          <w:i/>
          <w:sz w:val="24"/>
          <w:szCs w:val="24"/>
        </w:rPr>
      </w:pPr>
      <w:r>
        <w:rPr>
          <w:rFonts w:cs="Arial" w:ascii="Arial" w:hAnsi="Arial"/>
          <w:i/>
          <w:sz w:val="24"/>
          <w:szCs w:val="24"/>
        </w:rPr>
        <w:t>Paslaugų pirkimo–pardavimo sutarties bendrosios ir specialiosios sąlygos pateikiamos kaip atskiras priedas ir skelbiamas viešai CVP IS priemonėmis kartu su kitais pirkimo dokumentais.</w:t>
      </w:r>
    </w:p>
    <w:p>
      <w:pPr>
        <w:pStyle w:val="Normal"/>
        <w:spacing w:lineRule="auto" w:line="240"/>
        <w:ind w:firstLine="720"/>
        <w:rPr>
          <w:rFonts w:ascii="Arial" w:hAnsi="Arial" w:cs="Arial"/>
          <w:i/>
          <w:i/>
          <w:sz w:val="24"/>
          <w:szCs w:val="24"/>
        </w:rPr>
      </w:pPr>
      <w:r>
        <w:rPr>
          <w:rFonts w:cs="Arial" w:ascii="Arial" w:hAnsi="Arial"/>
          <w:i/>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t>_____________</w:t>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numPr>
          <w:ilvl w:val="0"/>
          <w:numId w:val="0"/>
        </w:numPr>
        <w:spacing w:lineRule="auto" w:line="240"/>
        <w:ind w:hanging="0" w:left="0"/>
        <w:jc w:val="center"/>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rPr>
          <w:rFonts w:ascii="Arial" w:hAnsi="Arial" w:cs="Arial"/>
          <w:sz w:val="24"/>
          <w:szCs w:val="24"/>
        </w:rPr>
      </w:pPr>
      <w:r>
        <w:rPr>
          <w:rFonts w:cs="Arial" w:ascii="Arial" w:hAnsi="Arial"/>
          <w:sz w:val="24"/>
          <w:szCs w:val="24"/>
        </w:rPr>
      </w:r>
    </w:p>
    <w:p>
      <w:pPr>
        <w:pStyle w:val="Normal"/>
        <w:spacing w:lineRule="auto" w:line="240"/>
        <w:ind w:hanging="0" w:left="7740"/>
        <w:jc w:val="left"/>
        <w:rPr>
          <w:rFonts w:ascii="Arial" w:hAnsi="Arial" w:eastAsia="Calibri" w:cs="Arial" w:eastAsiaTheme="minorHAnsi"/>
          <w:bCs/>
          <w:iCs/>
          <w:sz w:val="24"/>
          <w:szCs w:val="24"/>
        </w:rPr>
      </w:pPr>
      <w:r>
        <w:rPr>
          <w:rFonts w:cs="Arial" w:ascii="Arial" w:hAnsi="Arial"/>
          <w:sz w:val="24"/>
          <w:szCs w:val="24"/>
        </w:rPr>
        <w:t>Pirkimo sąlygų 7 priedas „Terminai“</w:t>
      </w:r>
    </w:p>
    <w:p>
      <w:pPr>
        <w:pStyle w:val="Normal"/>
        <w:rPr>
          <w:rFonts w:ascii="Arial" w:hAnsi="Arial" w:eastAsia="Calibri" w:cs="Arial" w:eastAsiaTheme="minorHAnsi"/>
          <w:bCs/>
          <w:iCs/>
          <w:sz w:val="24"/>
          <w:szCs w:val="24"/>
        </w:rPr>
      </w:pPr>
      <w:r>
        <w:rPr>
          <w:rFonts w:eastAsia="Calibri" w:cs="Arial" w:eastAsiaTheme="minorHAnsi" w:ascii="Arial" w:hAnsi="Arial"/>
          <w:bCs/>
          <w:iCs/>
          <w:sz w:val="24"/>
          <w:szCs w:val="24"/>
        </w:rPr>
      </w:r>
    </w:p>
    <w:tbl>
      <w:tblPr>
        <w:tblStyle w:val="TableGrid2"/>
        <w:tblW w:w="10890" w:type="dxa"/>
        <w:jc w:val="left"/>
        <w:tblInd w:w="-72" w:type="dxa"/>
        <w:tblLayout w:type="fixed"/>
        <w:tblCellMar>
          <w:top w:w="0" w:type="dxa"/>
          <w:left w:w="108" w:type="dxa"/>
          <w:bottom w:w="0" w:type="dxa"/>
          <w:right w:w="108" w:type="dxa"/>
        </w:tblCellMar>
        <w:tblLook w:firstRow="1" w:noVBand="1" w:lastRow="0" w:firstColumn="1" w:lastColumn="0" w:noHBand="0" w:val="04a0"/>
      </w:tblPr>
      <w:tblGrid>
        <w:gridCol w:w="630"/>
        <w:gridCol w:w="3960"/>
        <w:gridCol w:w="3060"/>
        <w:gridCol w:w="3239"/>
      </w:tblGrid>
      <w:tr>
        <w:trPr>
          <w:trHeight w:val="20" w:hRule="atLeast"/>
        </w:trPr>
        <w:tc>
          <w:tcPr>
            <w:tcW w:w="63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Eil.</w:t>
            </w:r>
          </w:p>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Nr.</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b/>
                <w:kern w:val="0"/>
                <w:sz w:val="22"/>
                <w:szCs w:val="22"/>
                <w:lang w:val="lt-LT" w:eastAsia="lt-LT" w:bidi="ar-SA"/>
              </w:rPr>
              <w:t>VEIKSMAS</w:t>
            </w:r>
          </w:p>
        </w:tc>
        <w:tc>
          <w:tcPr>
            <w:tcW w:w="3060"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b/>
                <w:kern w:val="0"/>
                <w:sz w:val="22"/>
                <w:szCs w:val="22"/>
                <w:lang w:val="lt-LT" w:eastAsia="lt-LT" w:bidi="ar-SA"/>
              </w:rPr>
              <w:t xml:space="preserve">DATA/DIENŲ SKAIČIUS/ LAIKAS </w:t>
            </w:r>
            <w:r>
              <w:rPr>
                <w:rFonts w:eastAsia="" w:cs="Arial" w:ascii="Arial" w:hAnsi="Arial"/>
                <w:kern w:val="0"/>
                <w:sz w:val="22"/>
                <w:szCs w:val="22"/>
                <w:lang w:val="lt-LT" w:eastAsia="lt-LT" w:bidi="ar-SA"/>
              </w:rPr>
              <w:t>(Lietuvos laiku)</w:t>
            </w:r>
          </w:p>
        </w:tc>
        <w:tc>
          <w:tcPr>
            <w:tcW w:w="3239" w:type="dxa"/>
            <w:tcBorders/>
          </w:tcPr>
          <w:p>
            <w:pPr>
              <w:pStyle w:val="Normal"/>
              <w:widowControl/>
              <w:suppressAutoHyphens w:val="true"/>
              <w:spacing w:lineRule="auto" w:line="240" w:before="0" w:after="0"/>
              <w:ind w:firstLine="34"/>
              <w:rPr>
                <w:rFonts w:ascii="Arial" w:hAnsi="Arial" w:cs="Arial"/>
                <w:b/>
                <w:sz w:val="22"/>
                <w:szCs w:val="22"/>
              </w:rPr>
            </w:pPr>
            <w:r>
              <w:rPr>
                <w:rFonts w:eastAsia="" w:cs="Arial" w:ascii="Arial" w:hAnsi="Arial"/>
                <w:b/>
                <w:kern w:val="0"/>
                <w:sz w:val="22"/>
                <w:szCs w:val="22"/>
                <w:lang w:val="lt-LT" w:eastAsia="lt-LT" w:bidi="ar-SA"/>
              </w:rPr>
              <w:t>PASTABOS</w:t>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1.</w:t>
            </w:r>
          </w:p>
        </w:tc>
        <w:tc>
          <w:tcPr>
            <w:tcW w:w="396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Pasiūlymų pateikimo terminas</w:t>
            </w:r>
          </w:p>
        </w:tc>
        <w:tc>
          <w:tcPr>
            <w:tcW w:w="30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Bus nurodytas skelbime apie pirkimą.</w:t>
            </w:r>
          </w:p>
        </w:tc>
        <w:tc>
          <w:tcPr>
            <w:tcW w:w="3239" w:type="dxa"/>
            <w:tcBorders/>
          </w:tcPr>
          <w:p>
            <w:pPr>
              <w:pStyle w:val="Normal"/>
              <w:widowControl/>
              <w:suppressAutoHyphens w:val="true"/>
              <w:spacing w:lineRule="auto" w:line="240" w:before="0" w:after="0"/>
              <w:ind w:hanging="0"/>
              <w:rPr>
                <w:rFonts w:ascii="Arial" w:hAnsi="Arial" w:cs="Arial"/>
                <w:color w:val="7030A0"/>
                <w:sz w:val="22"/>
                <w:szCs w:val="22"/>
              </w:rPr>
            </w:pPr>
            <w:r>
              <w:rPr>
                <w:rFonts w:eastAsia="" w:cs="Arial" w:ascii="Arial" w:hAnsi="Arial"/>
                <w:kern w:val="0"/>
                <w:sz w:val="22"/>
                <w:szCs w:val="22"/>
                <w:lang w:val="lt-LT" w:eastAsia="lt-LT" w:bidi="ar-SA"/>
              </w:rPr>
              <w:t>Perkančioji organizacija turi teisę pratęsti pasiūlymų pateikimo terminą.</w:t>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2.</w:t>
            </w:r>
          </w:p>
        </w:tc>
        <w:tc>
          <w:tcPr>
            <w:tcW w:w="396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kern w:val="0"/>
                <w:sz w:val="22"/>
                <w:szCs w:val="22"/>
                <w:lang w:val="lt-LT" w:eastAsia="lt-LT" w:bidi="ar-SA"/>
              </w:rPr>
              <w:t>Pasiūlymą patikslinti pirkimo dokumentus arba prašymus dėl pirkimo dokumentų paaiškinimų tiekėjas turi pateikti ne vėliau kaip:</w:t>
            </w:r>
          </w:p>
        </w:tc>
        <w:tc>
          <w:tcPr>
            <w:tcW w:w="30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 xml:space="preserve">Likus </w:t>
            </w:r>
            <w:r>
              <w:rPr>
                <w:rFonts w:eastAsia="" w:cs="Arial" w:ascii="Arial" w:hAnsi="Arial"/>
                <w:b/>
                <w:kern w:val="0"/>
                <w:sz w:val="22"/>
                <w:szCs w:val="22"/>
                <w:lang w:val="lt-LT" w:eastAsia="lt-LT" w:bidi="ar-SA"/>
              </w:rPr>
              <w:t>2 darbo dienoms</w:t>
            </w:r>
            <w:r>
              <w:rPr>
                <w:rFonts w:eastAsia="" w:cs="Arial" w:ascii="Arial" w:hAnsi="Arial"/>
                <w:kern w:val="0"/>
                <w:sz w:val="22"/>
                <w:szCs w:val="22"/>
                <w:lang w:val="lt-LT" w:eastAsia="lt-LT" w:bidi="ar-SA"/>
              </w:rPr>
              <w:t xml:space="preserve"> iki pasiūlymų pateikimo termino pabaigos.</w:t>
            </w:r>
          </w:p>
        </w:tc>
        <w:tc>
          <w:tcPr>
            <w:tcW w:w="3239" w:type="dxa"/>
            <w:tcBorders/>
          </w:tcPr>
          <w:p>
            <w:pPr>
              <w:pStyle w:val="Normal"/>
              <w:widowControl/>
              <w:suppressAutoHyphens w:val="true"/>
              <w:spacing w:lineRule="auto" w:line="240" w:before="0" w:after="0"/>
              <w:ind w:firstLine="34"/>
              <w:rPr>
                <w:rFonts w:ascii="Arial" w:hAnsi="Arial" w:cs="Arial"/>
                <w:color w:val="7030A0"/>
                <w:sz w:val="22"/>
                <w:szCs w:val="22"/>
              </w:rPr>
            </w:pPr>
            <w:r>
              <w:rPr>
                <w:rFonts w:eastAsia="" w:cs="Arial" w:ascii="Arial" w:hAnsi="Arial"/>
                <w:color w:val="7030A0"/>
                <w:kern w:val="0"/>
                <w:sz w:val="22"/>
                <w:szCs w:val="22"/>
                <w:lang w:val="lt-LT" w:eastAsia="lt-LT" w:bidi="ar-SA"/>
              </w:rPr>
            </w:r>
          </w:p>
          <w:p>
            <w:pPr>
              <w:pStyle w:val="Normal"/>
              <w:widowControl/>
              <w:suppressAutoHyphens w:val="true"/>
              <w:spacing w:lineRule="auto" w:line="240" w:before="0" w:after="0"/>
              <w:ind w:firstLine="34"/>
              <w:rPr>
                <w:rFonts w:ascii="Arial" w:hAnsi="Arial" w:cs="Arial"/>
                <w:color w:val="7030A0"/>
                <w:sz w:val="22"/>
                <w:szCs w:val="22"/>
              </w:rPr>
            </w:pPr>
            <w:r>
              <w:rPr>
                <w:rFonts w:eastAsia="" w:cs="Arial" w:ascii="Arial" w:hAnsi="Arial"/>
                <w:color w:val="7030A0"/>
                <w:kern w:val="0"/>
                <w:sz w:val="22"/>
                <w:szCs w:val="22"/>
                <w:lang w:val="lt-LT" w:eastAsia="lt-LT" w:bidi="ar-SA"/>
              </w:rPr>
            </w:r>
          </w:p>
          <w:p>
            <w:pPr>
              <w:pStyle w:val="Normal"/>
              <w:widowControl/>
              <w:suppressAutoHyphens w:val="true"/>
              <w:spacing w:lineRule="auto" w:line="240" w:before="0" w:after="0"/>
              <w:ind w:firstLine="34"/>
              <w:rPr>
                <w:rFonts w:ascii="Arial" w:hAnsi="Arial" w:cs="Arial"/>
                <w:color w:val="7030A0"/>
                <w:sz w:val="22"/>
                <w:szCs w:val="22"/>
              </w:rPr>
            </w:pPr>
            <w:r>
              <w:rPr>
                <w:rFonts w:eastAsia="" w:cs="Arial" w:ascii="Arial" w:hAnsi="Arial"/>
                <w:color w:val="7030A0"/>
                <w:kern w:val="0"/>
                <w:sz w:val="22"/>
                <w:szCs w:val="22"/>
                <w:lang w:val="lt-LT" w:eastAsia="lt-LT" w:bidi="ar-SA"/>
              </w:rPr>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3.</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Arial" w:cs="Arial" w:ascii="Arial" w:hAnsi="Arial"/>
                <w:kern w:val="0"/>
                <w:sz w:val="22"/>
                <w:szCs w:val="22"/>
                <w:lang w:val="lt-LT" w:eastAsia="lt-LT" w:bidi="ar-SA"/>
              </w:rPr>
              <w:t xml:space="preserve">Perkančioji organizacija </w:t>
            </w:r>
            <w:r>
              <w:rPr>
                <w:rFonts w:eastAsia="" w:cs="Arial" w:ascii="Arial" w:hAnsi="Arial"/>
                <w:kern w:val="0"/>
                <w:sz w:val="22"/>
                <w:szCs w:val="22"/>
                <w:lang w:val="lt-LT" w:eastAsia="lt-LT" w:bidi="ar-SA"/>
              </w:rPr>
              <w:t>pirkimo dokumentų paaiškinimą, patikslinimą pateikia visiems dalyviams:</w:t>
            </w:r>
          </w:p>
        </w:tc>
        <w:tc>
          <w:tcPr>
            <w:tcW w:w="30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bCs/>
                <w:kern w:val="0"/>
                <w:sz w:val="22"/>
                <w:szCs w:val="22"/>
                <w:lang w:val="lt-LT" w:eastAsia="lt-LT" w:bidi="ar-SA"/>
              </w:rPr>
              <w:t>Likus ne mažiau kaip</w:t>
            </w:r>
            <w:r>
              <w:rPr>
                <w:rFonts w:eastAsia="" w:cs="Arial" w:ascii="Arial" w:hAnsi="Arial"/>
                <w:b/>
                <w:kern w:val="0"/>
                <w:sz w:val="22"/>
                <w:szCs w:val="22"/>
                <w:lang w:val="lt-LT" w:eastAsia="lt-LT" w:bidi="ar-SA"/>
              </w:rPr>
              <w:t xml:space="preserve"> 1 darbo dienai</w:t>
            </w:r>
            <w:r>
              <w:rPr>
                <w:rFonts w:eastAsia="" w:cs="Arial" w:ascii="Arial" w:hAnsi="Arial"/>
                <w:kern w:val="0"/>
                <w:sz w:val="22"/>
                <w:szCs w:val="22"/>
                <w:lang w:val="lt-LT" w:eastAsia="lt-LT" w:bidi="ar-SA"/>
              </w:rPr>
              <w:t xml:space="preserve"> iki pasiūlymų pateikimo termino pabaigos.</w:t>
            </w:r>
          </w:p>
        </w:tc>
        <w:tc>
          <w:tcPr>
            <w:tcW w:w="3239" w:type="dxa"/>
            <w:tcBorders/>
          </w:tcPr>
          <w:p>
            <w:pPr>
              <w:pStyle w:val="Normal"/>
              <w:widowControl/>
              <w:suppressAutoHyphens w:val="true"/>
              <w:spacing w:lineRule="auto" w:line="240" w:before="0" w:after="0"/>
              <w:ind w:hanging="0"/>
              <w:rPr>
                <w:rFonts w:ascii="Arial" w:hAnsi="Arial" w:cs="Arial"/>
                <w:color w:val="7030A0"/>
                <w:sz w:val="22"/>
                <w:szCs w:val="22"/>
              </w:rPr>
            </w:pPr>
            <w:r>
              <w:rPr>
                <w:rFonts w:eastAsia="" w:cs="Arial" w:ascii="Arial" w:hAnsi="Arial"/>
                <w:color w:val="000000"/>
                <w:kern w:val="0"/>
                <w:sz w:val="22"/>
                <w:szCs w:val="22"/>
                <w:lang w:val="lt-LT" w:eastAsia="lt-LT" w:bidi="ar-SA"/>
              </w:rPr>
              <w:t>Jei paaiškinimai ar patikslinimai teikiami perkančiosios organizacijos iniciatyva, jų pateikimo terminas nesikeičia.</w:t>
            </w:r>
          </w:p>
        </w:tc>
      </w:tr>
      <w:tr>
        <w:trPr>
          <w:trHeight w:val="1055"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4.</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Pradinis susipažinimas su CVP IS priemonėmis gautais pasiūlymais</w:t>
            </w:r>
          </w:p>
        </w:tc>
        <w:tc>
          <w:tcPr>
            <w:tcW w:w="30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 xml:space="preserve">Pradedamas ne anksčiau nei </w:t>
            </w:r>
            <w:r>
              <w:rPr>
                <w:rFonts w:eastAsia="" w:cs="Arial" w:ascii="Arial" w:hAnsi="Arial"/>
                <w:color w:themeColor="text1" w:val="000000"/>
                <w:kern w:val="0"/>
                <w:sz w:val="22"/>
                <w:szCs w:val="22"/>
                <w:lang w:val="lt-LT" w:eastAsia="lt-LT" w:bidi="ar-SA"/>
              </w:rPr>
              <w:t>po 30 minučių</w:t>
            </w:r>
            <w:r>
              <w:rPr>
                <w:rFonts w:eastAsia="" w:cs="Arial" w:ascii="Arial" w:hAnsi="Arial"/>
                <w:kern w:val="0"/>
                <w:sz w:val="22"/>
                <w:szCs w:val="22"/>
                <w:lang w:val="lt-LT" w:eastAsia="lt-LT" w:bidi="ar-SA"/>
              </w:rPr>
              <w:t xml:space="preserve"> po galutinių pasiūlymų pateikimo termino pabaigos</w:t>
            </w:r>
          </w:p>
        </w:tc>
        <w:tc>
          <w:tcPr>
            <w:tcW w:w="3239" w:type="dxa"/>
            <w:tcBorders/>
          </w:tcPr>
          <w:p>
            <w:pPr>
              <w:pStyle w:val="Normal"/>
              <w:widowControl/>
              <w:suppressAutoHyphens w:val="true"/>
              <w:spacing w:lineRule="auto" w:line="240" w:before="0" w:after="0"/>
              <w:ind w:firstLine="34"/>
              <w:rPr>
                <w:rFonts w:ascii="Arial" w:hAnsi="Arial" w:cs="Arial"/>
                <w:iCs/>
                <w:sz w:val="22"/>
                <w:szCs w:val="22"/>
              </w:rPr>
            </w:pPr>
            <w:r>
              <w:rPr>
                <w:rFonts w:eastAsia="" w:cs="Arial" w:ascii="Arial" w:hAnsi="Arial"/>
                <w:iCs/>
                <w:kern w:val="0"/>
                <w:sz w:val="22"/>
                <w:szCs w:val="22"/>
                <w:lang w:val="lt-LT" w:eastAsia="lt-LT" w:bidi="ar-SA"/>
              </w:rPr>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5.</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bCs/>
                <w:kern w:val="0"/>
                <w:sz w:val="22"/>
                <w:szCs w:val="22"/>
                <w:lang w:val="lt-LT" w:eastAsia="lt-LT" w:bidi="ar-SA"/>
              </w:rPr>
              <w:t>Pasiūlymo galiojimo ir pasiūlymo galiojimo užtikrinimo (jei taikoma) terminas ne trumpesnis kaip</w:t>
            </w:r>
          </w:p>
        </w:tc>
        <w:tc>
          <w:tcPr>
            <w:tcW w:w="30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90 (devyniasdešimt) dienų nuo pasiūlymų pateikimo galutinio termino pabaigos.</w:t>
            </w:r>
          </w:p>
        </w:tc>
        <w:tc>
          <w:tcPr>
            <w:tcW w:w="3239"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6.</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Arial" w:cs="Arial" w:ascii="Arial" w:hAnsi="Arial"/>
                <w:kern w:val="0"/>
                <w:sz w:val="22"/>
                <w:szCs w:val="22"/>
                <w:lang w:val="lt-LT" w:eastAsia="lt-LT" w:bidi="ar-SA"/>
              </w:rPr>
              <w:t>Perkančioji organizacija</w:t>
            </w:r>
            <w:r>
              <w:rPr>
                <w:rFonts w:eastAsia="" w:cs="Arial" w:ascii="Arial" w:hAnsi="Arial"/>
                <w:kern w:val="0"/>
                <w:sz w:val="22"/>
                <w:szCs w:val="22"/>
                <w:lang w:val="lt-LT" w:eastAsia="lt-LT" w:bidi="ar-SA"/>
              </w:rPr>
              <w:t xml:space="preserve"> atsako dalyviui, ar jis sutinka priimti dalyvio siūlomą pasiūlymo galiojimo užtikrinimą patvirtinantį dokumentą ne vėliau kaip per</w:t>
            </w:r>
          </w:p>
        </w:tc>
        <w:tc>
          <w:tcPr>
            <w:tcW w:w="3060"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iCs/>
                <w:kern w:val="0"/>
                <w:sz w:val="22"/>
                <w:szCs w:val="22"/>
                <w:lang w:val="lt-LT" w:eastAsia="lt-LT" w:bidi="ar-SA"/>
              </w:rPr>
              <w:t xml:space="preserve">3 (tris) darbo dienas </w:t>
            </w:r>
            <w:r>
              <w:rPr>
                <w:rFonts w:eastAsia="" w:cs="Arial" w:ascii="Arial" w:hAnsi="Arial"/>
                <w:kern w:val="0"/>
                <w:sz w:val="22"/>
                <w:szCs w:val="22"/>
                <w:lang w:val="lt-LT" w:eastAsia="lt-LT" w:bidi="ar-SA"/>
              </w:rPr>
              <w:t>nuo prašymo gavimo dienos</w:t>
            </w:r>
          </w:p>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r>
          </w:p>
        </w:tc>
        <w:tc>
          <w:tcPr>
            <w:tcW w:w="3239"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NETAIKOMA</w:t>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7.</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Pasiūlymo galiojimo užtikrinimas pirkimo dalyviui grąžinamas (arba atsisakoma teisių į jį) per</w:t>
            </w:r>
          </w:p>
        </w:tc>
        <w:tc>
          <w:tcPr>
            <w:tcW w:w="3060"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iCs/>
                <w:kern w:val="0"/>
                <w:sz w:val="22"/>
                <w:szCs w:val="22"/>
                <w:lang w:val="lt-LT" w:eastAsia="lt-LT" w:bidi="ar-SA"/>
              </w:rPr>
              <w:t xml:space="preserve">5  (penkias) darbo dienas </w:t>
            </w:r>
            <w:r>
              <w:rPr>
                <w:rFonts w:eastAsia="" w:cs="Arial" w:ascii="Arial" w:hAnsi="Arial"/>
                <w:kern w:val="0"/>
                <w:sz w:val="22"/>
                <w:szCs w:val="22"/>
                <w:lang w:val="lt-LT" w:eastAsia="lt-LT" w:bidi="ar-SA"/>
              </w:rPr>
              <w:t>nuo prašymo gavimo dienos</w:t>
            </w:r>
          </w:p>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r>
          </w:p>
        </w:tc>
        <w:tc>
          <w:tcPr>
            <w:tcW w:w="3239"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NETAIKOMA</w:t>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8.</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Arial" w:cs="Arial" w:ascii="Arial" w:hAnsi="Arial"/>
                <w:kern w:val="0"/>
                <w:sz w:val="22"/>
                <w:szCs w:val="22"/>
                <w:lang w:val="lt-LT" w:eastAsia="lt-LT" w:bidi="ar-SA"/>
              </w:rPr>
              <w:t>Perkančioji organizacija</w:t>
            </w:r>
            <w:r>
              <w:rPr>
                <w:rFonts w:eastAsia="" w:cs="Arial" w:ascii="Arial" w:hAnsi="Arial"/>
                <w:kern w:val="0"/>
                <w:sz w:val="22"/>
                <w:szCs w:val="22"/>
                <w:lang w:val="lt-LT" w:eastAsia="lt-LT" w:bidi="ar-SA"/>
              </w:rPr>
              <w:t xml:space="preserve"> informuoja dalyvius apie EBVPD vertinimo rezultatus, jeigu taikoma, ne vėliau kaip per</w:t>
            </w:r>
          </w:p>
        </w:tc>
        <w:tc>
          <w:tcPr>
            <w:tcW w:w="3060"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bCs/>
                <w:kern w:val="0"/>
                <w:sz w:val="22"/>
                <w:szCs w:val="22"/>
                <w:lang w:val="lt-LT" w:eastAsia="lt-LT" w:bidi="ar-SA"/>
              </w:rPr>
              <w:t>3 (tris) darbo dienas nuo sprendimo priėmimo dienos</w:t>
            </w:r>
          </w:p>
        </w:tc>
        <w:tc>
          <w:tcPr>
            <w:tcW w:w="3239"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NETAIKOMA</w:t>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9.</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Arial" w:cs="Arial" w:ascii="Arial" w:hAnsi="Arial"/>
                <w:kern w:val="0"/>
                <w:sz w:val="22"/>
                <w:szCs w:val="22"/>
                <w:lang w:val="lt-LT" w:eastAsia="lt-LT" w:bidi="ar-SA"/>
              </w:rPr>
              <w:t>Perkančioji organizacija</w:t>
            </w:r>
            <w:r>
              <w:rPr>
                <w:rFonts w:eastAsia="" w:cs="Arial" w:ascii="Arial" w:hAnsi="Arial"/>
                <w:kern w:val="0"/>
                <w:sz w:val="22"/>
                <w:szCs w:val="22"/>
                <w:lang w:val="lt-LT" w:eastAsia="lt-LT" w:bidi="ar-SA"/>
              </w:rPr>
              <w:t xml:space="preserve"> dalyviams praneša apie priimtą sprendimą nustatyti laimėjusį pasiūlymą, dėl kurio bus sudaroma sutartis ne vėliau kaip per</w:t>
            </w:r>
          </w:p>
        </w:tc>
        <w:tc>
          <w:tcPr>
            <w:tcW w:w="3060" w:type="dxa"/>
            <w:tcBorders/>
          </w:tcPr>
          <w:p>
            <w:pPr>
              <w:pStyle w:val="Normal"/>
              <w:widowControl/>
              <w:suppressAutoHyphens w:val="true"/>
              <w:spacing w:lineRule="auto" w:line="240" w:before="0" w:after="0"/>
              <w:ind w:firstLine="34"/>
              <w:rPr>
                <w:rFonts w:ascii="Arial" w:hAnsi="Arial" w:cs="Arial"/>
                <w:bCs/>
                <w:sz w:val="22"/>
                <w:szCs w:val="22"/>
              </w:rPr>
            </w:pPr>
            <w:r>
              <w:rPr>
                <w:rFonts w:eastAsia="" w:cs="Arial" w:ascii="Arial" w:hAnsi="Arial"/>
                <w:bCs/>
                <w:kern w:val="0"/>
                <w:sz w:val="22"/>
                <w:szCs w:val="22"/>
                <w:lang w:val="lt-LT" w:eastAsia="lt-LT" w:bidi="ar-SA"/>
              </w:rPr>
              <w:t>3 (tris) darbo dienas nuo sprendimo priėmimo dienos</w:t>
            </w:r>
          </w:p>
        </w:tc>
        <w:tc>
          <w:tcPr>
            <w:tcW w:w="3239"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10.</w:t>
            </w:r>
          </w:p>
        </w:tc>
        <w:tc>
          <w:tcPr>
            <w:tcW w:w="3960" w:type="dxa"/>
            <w:tcBorders/>
          </w:tcPr>
          <w:p>
            <w:pPr>
              <w:pStyle w:val="Normal"/>
              <w:widowControl/>
              <w:suppressAutoHyphens w:val="true"/>
              <w:spacing w:lineRule="auto" w:line="240" w:before="0" w:after="0"/>
              <w:ind w:hanging="0"/>
              <w:rPr>
                <w:rFonts w:ascii="Arial" w:hAnsi="Arial" w:cs="Arial"/>
                <w:color w:val="000000"/>
                <w:sz w:val="22"/>
                <w:szCs w:val="22"/>
                <w:shd w:fill="FFFFFF" w:val="clear"/>
              </w:rPr>
            </w:pPr>
            <w:r>
              <w:rPr>
                <w:rFonts w:eastAsia="" w:cs="Arial" w:ascii="Arial" w:hAnsi="Arial"/>
                <w:color w:val="000000"/>
                <w:kern w:val="0"/>
                <w:sz w:val="22"/>
                <w:szCs w:val="22"/>
                <w:shd w:fill="FFFFFF" w:val="clear"/>
                <w:lang w:val="lt-LT" w:eastAsia="lt-LT" w:bidi="ar-SA"/>
              </w:rPr>
              <w:t xml:space="preserve">Dalyvis turi teisę pateikti pretenziją </w:t>
            </w:r>
            <w:r>
              <w:rPr>
                <w:rFonts w:eastAsia="Arial" w:cs="Arial" w:ascii="Arial" w:hAnsi="Arial"/>
                <w:kern w:val="0"/>
                <w:sz w:val="22"/>
                <w:szCs w:val="22"/>
                <w:lang w:val="lt-LT" w:eastAsia="lt-LT" w:bidi="ar-SA"/>
              </w:rPr>
              <w:t xml:space="preserve">perkančiajai organizacijai </w:t>
            </w:r>
            <w:r>
              <w:rPr>
                <w:rFonts w:eastAsia="" w:cs="Arial" w:ascii="Arial" w:hAnsi="Arial"/>
                <w:kern w:val="0"/>
                <w:sz w:val="22"/>
                <w:szCs w:val="22"/>
                <w:shd w:fill="FFFFFF" w:val="clear"/>
                <w:lang w:val="lt-LT" w:eastAsia="lt-LT" w:bidi="ar-SA"/>
              </w:rPr>
              <w:t xml:space="preserve">pateikti prašymą ar </w:t>
            </w:r>
            <w:r>
              <w:rPr>
                <w:rFonts w:eastAsia="" w:cs="Arial" w:ascii="Arial" w:hAnsi="Arial"/>
                <w:color w:val="000000"/>
                <w:kern w:val="0"/>
                <w:sz w:val="22"/>
                <w:szCs w:val="22"/>
                <w:shd w:fill="FFFFFF" w:val="clear"/>
                <w:lang w:val="lt-LT" w:eastAsia="lt-LT" w:bidi="ar-SA"/>
              </w:rPr>
              <w:t xml:space="preserve">pareikšti ieškinį teismui </w:t>
            </w:r>
            <w:r>
              <w:rPr>
                <w:rFonts w:eastAsia="" w:cs="Arial" w:ascii="Arial" w:hAnsi="Arial"/>
                <w:kern w:val="0"/>
                <w:sz w:val="22"/>
                <w:szCs w:val="22"/>
                <w:lang w:val="lt-LT" w:eastAsia="lt-LT" w:bidi="ar-SA"/>
              </w:rPr>
              <w:t>ne vėliau kaip per</w:t>
            </w:r>
          </w:p>
        </w:tc>
        <w:tc>
          <w:tcPr>
            <w:tcW w:w="3060"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t>5 (penkias) darbo dienas</w:t>
            </w:r>
          </w:p>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 xml:space="preserve">nuo </w:t>
            </w:r>
            <w:r>
              <w:rPr>
                <w:rFonts w:eastAsia="Arial" w:cs="Arial" w:ascii="Arial" w:hAnsi="Arial"/>
                <w:kern w:val="0"/>
                <w:sz w:val="22"/>
                <w:szCs w:val="22"/>
                <w:lang w:val="lt-LT" w:eastAsia="lt-LT" w:bidi="ar-SA"/>
              </w:rPr>
              <w:t xml:space="preserve">perkančiosios organizacijos </w:t>
            </w:r>
            <w:r>
              <w:rPr>
                <w:rFonts w:eastAsia="" w:cs="Arial" w:ascii="Arial" w:hAnsi="Arial"/>
                <w:kern w:val="0"/>
                <w:sz w:val="22"/>
                <w:szCs w:val="22"/>
                <w:lang w:val="lt-LT" w:eastAsia="lt-LT" w:bidi="ar-SA"/>
              </w:rPr>
              <w:t xml:space="preserve">pranešimo raštu apie jos priimtą sprendimą išsiuntimo tiekėjams dienos arba nuo paskelbimo apie </w:t>
            </w:r>
            <w:r>
              <w:rPr>
                <w:rFonts w:eastAsia="Arial" w:cs="Arial" w:ascii="Arial" w:hAnsi="Arial"/>
                <w:kern w:val="0"/>
                <w:sz w:val="22"/>
                <w:szCs w:val="22"/>
                <w:lang w:val="lt-LT" w:eastAsia="lt-LT" w:bidi="ar-SA"/>
              </w:rPr>
              <w:t xml:space="preserve"> perkančiosios organizacijos </w:t>
            </w:r>
            <w:r>
              <w:rPr>
                <w:rFonts w:eastAsia="" w:cs="Arial" w:ascii="Arial" w:hAnsi="Arial"/>
                <w:kern w:val="0"/>
                <w:sz w:val="22"/>
                <w:szCs w:val="22"/>
                <w:lang w:val="lt-LT" w:eastAsia="lt-LT" w:bidi="ar-SA"/>
              </w:rPr>
              <w:t xml:space="preserve">priimtus sprendimus dienos, jei VPĮ nenumato reikalavimo raštu informuoti tiekėjus apie </w:t>
            </w:r>
            <w:r>
              <w:rPr>
                <w:rFonts w:eastAsia="Arial" w:cs="Arial" w:ascii="Arial" w:hAnsi="Arial"/>
                <w:kern w:val="0"/>
                <w:sz w:val="22"/>
                <w:szCs w:val="22"/>
                <w:lang w:val="lt-LT" w:eastAsia="lt-LT" w:bidi="ar-SA"/>
              </w:rPr>
              <w:t xml:space="preserve"> perkančiosios organizacijos </w:t>
            </w:r>
            <w:r>
              <w:rPr>
                <w:rFonts w:eastAsia="" w:cs="Arial" w:ascii="Arial" w:hAnsi="Arial"/>
                <w:kern w:val="0"/>
                <w:sz w:val="22"/>
                <w:szCs w:val="22"/>
                <w:lang w:val="lt-LT" w:eastAsia="lt-LT" w:bidi="ar-SA"/>
              </w:rPr>
              <w:t>priimtus sprendimus;</w:t>
            </w:r>
          </w:p>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15 (penkiolika) dienų nuo pranešimo išsiuntimo tiekėjams dienos, jeigu šis pranešimas nebuvo siunčiamas elektroninėmis priemonėmis.</w:t>
            </w:r>
          </w:p>
        </w:tc>
        <w:tc>
          <w:tcPr>
            <w:tcW w:w="3239" w:type="dxa"/>
            <w:tcBorders/>
          </w:tcPr>
          <w:p>
            <w:pPr>
              <w:pStyle w:val="Normal"/>
              <w:widowControl/>
              <w:suppressAutoHyphens w:val="true"/>
              <w:spacing w:lineRule="auto" w:line="240" w:before="0" w:after="0"/>
              <w:ind w:firstLine="34"/>
              <w:rPr>
                <w:rFonts w:ascii="Arial" w:hAnsi="Arial" w:cs="Arial"/>
                <w:bCs/>
                <w:color w:val="7030A0"/>
                <w:sz w:val="22"/>
                <w:szCs w:val="22"/>
              </w:rPr>
            </w:pPr>
            <w:r>
              <w:rPr>
                <w:rFonts w:eastAsia="" w:cs="Arial" w:ascii="Arial" w:hAnsi="Arial"/>
                <w:bCs/>
                <w:color w:val="7030A0"/>
                <w:kern w:val="0"/>
                <w:sz w:val="22"/>
                <w:szCs w:val="22"/>
                <w:lang w:val="lt-LT" w:eastAsia="lt-LT" w:bidi="ar-SA"/>
              </w:rPr>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11.</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Arial" w:cs="Arial" w:ascii="Arial" w:hAnsi="Arial"/>
                <w:kern w:val="0"/>
                <w:sz w:val="22"/>
                <w:szCs w:val="22"/>
                <w:lang w:val="lt-LT" w:eastAsia="lt-LT" w:bidi="ar-SA"/>
              </w:rPr>
              <w:t xml:space="preserve">Perkančioji organizacija </w:t>
            </w:r>
            <w:r>
              <w:rPr>
                <w:rFonts w:eastAsia="" w:cs="Arial" w:ascii="Arial" w:hAnsi="Arial"/>
                <w:kern w:val="0"/>
                <w:sz w:val="22"/>
                <w:szCs w:val="22"/>
                <w:lang w:val="lt-LT" w:eastAsia="lt-LT" w:bidi="ar-SA"/>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t>6 (šešias) darbo dienas nuo pretenzijos gavimo dienos</w:t>
            </w:r>
          </w:p>
        </w:tc>
        <w:tc>
          <w:tcPr>
            <w:tcW w:w="3239"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r>
          </w:p>
        </w:tc>
      </w:tr>
      <w:tr>
        <w:trPr>
          <w:trHeight w:val="20" w:hRule="atLeast"/>
        </w:trPr>
        <w:tc>
          <w:tcPr>
            <w:tcW w:w="630" w:type="dxa"/>
            <w:tcBorders/>
          </w:tcPr>
          <w:p>
            <w:pPr>
              <w:pStyle w:val="Normal"/>
              <w:widowControl/>
              <w:suppressAutoHyphens w:val="true"/>
              <w:spacing w:lineRule="auto" w:line="240" w:before="0" w:after="0"/>
              <w:ind w:hanging="0"/>
              <w:rPr>
                <w:rFonts w:ascii="Arial" w:hAnsi="Arial" w:cs="Arial"/>
                <w:bCs/>
                <w:sz w:val="22"/>
                <w:szCs w:val="22"/>
              </w:rPr>
            </w:pPr>
            <w:r>
              <w:rPr>
                <w:rFonts w:eastAsia="" w:cs="Arial" w:ascii="Arial" w:hAnsi="Arial"/>
                <w:bCs/>
                <w:kern w:val="0"/>
                <w:sz w:val="22"/>
                <w:szCs w:val="22"/>
                <w:lang w:val="lt-LT" w:eastAsia="lt-LT" w:bidi="ar-SA"/>
              </w:rPr>
              <w:t>12.</w:t>
            </w:r>
          </w:p>
        </w:tc>
        <w:tc>
          <w:tcPr>
            <w:tcW w:w="3960" w:type="dxa"/>
            <w:tcBorders/>
          </w:tcPr>
          <w:p>
            <w:pPr>
              <w:pStyle w:val="Normal"/>
              <w:widowControl/>
              <w:suppressAutoHyphens w:val="true"/>
              <w:spacing w:lineRule="auto" w:line="240" w:before="0" w:after="0"/>
              <w:ind w:hanging="0"/>
              <w:rPr>
                <w:rFonts w:ascii="Arial" w:hAnsi="Arial" w:cs="Arial"/>
                <w:sz w:val="22"/>
                <w:szCs w:val="22"/>
              </w:rPr>
            </w:pPr>
            <w:r>
              <w:rPr>
                <w:rFonts w:eastAsia="" w:cs="Arial" w:ascii="Arial" w:hAnsi="Arial"/>
                <w:kern w:val="0"/>
                <w:sz w:val="22"/>
                <w:szCs w:val="22"/>
                <w:lang w:val="lt-LT" w:eastAsia="lt-LT" w:bidi="ar-SA"/>
              </w:rPr>
              <w:t xml:space="preserve">Jeigu </w:t>
            </w:r>
            <w:r>
              <w:rPr>
                <w:rFonts w:eastAsia="Arial" w:cs="Arial" w:ascii="Arial" w:hAnsi="Arial"/>
                <w:kern w:val="0"/>
                <w:sz w:val="22"/>
                <w:szCs w:val="22"/>
                <w:lang w:val="lt-LT" w:eastAsia="lt-LT" w:bidi="ar-SA"/>
              </w:rPr>
              <w:t xml:space="preserve"> perkančioji organizacija </w:t>
            </w:r>
            <w:r>
              <w:rPr>
                <w:rFonts w:eastAsia="" w:cs="Arial" w:ascii="Arial" w:hAnsi="Arial"/>
                <w:kern w:val="0"/>
                <w:sz w:val="22"/>
                <w:szCs w:val="22"/>
                <w:lang w:val="lt-LT" w:eastAsia="lt-LT" w:bidi="ar-SA"/>
              </w:rPr>
              <w:t>per nustatytą terminą neišnagrinėja jai pateiktos pretenzijos, dalyvis turi teisę pateikti prašymą ar pareikšti ieškinį teismui per (išskyrus ieškinį dėl sutarties pripažinimo negaliojančia)</w:t>
            </w:r>
          </w:p>
        </w:tc>
        <w:tc>
          <w:tcPr>
            <w:tcW w:w="3060" w:type="dxa"/>
            <w:tcBorders/>
          </w:tcPr>
          <w:p>
            <w:pPr>
              <w:pStyle w:val="Normal"/>
              <w:widowControl/>
              <w:suppressAutoHyphens w:val="true"/>
              <w:spacing w:lineRule="auto" w:line="240" w:before="0" w:after="0"/>
              <w:ind w:firstLine="34"/>
              <w:rPr>
                <w:rFonts w:ascii="Arial" w:hAnsi="Arial" w:cs="Arial"/>
                <w:sz w:val="22"/>
                <w:szCs w:val="22"/>
                <w:highlight w:val="yellow"/>
              </w:rPr>
            </w:pPr>
            <w:r>
              <w:rPr>
                <w:rFonts w:eastAsia="" w:cs="Arial" w:ascii="Arial" w:hAnsi="Arial"/>
                <w:kern w:val="0"/>
                <w:sz w:val="22"/>
                <w:szCs w:val="22"/>
                <w:lang w:val="lt-LT" w:eastAsia="lt-LT" w:bidi="ar-SA"/>
              </w:rPr>
              <w:t xml:space="preserve">per 15 (penkiolika) dienų nuo dienos, kurią </w:t>
            </w:r>
            <w:r>
              <w:rPr>
                <w:rFonts w:eastAsia="Arial" w:cs="Arial" w:ascii="Arial" w:hAnsi="Arial"/>
                <w:kern w:val="0"/>
                <w:sz w:val="22"/>
                <w:szCs w:val="22"/>
                <w:lang w:val="lt-LT" w:eastAsia="lt-LT" w:bidi="ar-SA"/>
              </w:rPr>
              <w:t xml:space="preserve">perkančioji organizacija </w:t>
            </w:r>
            <w:r>
              <w:rPr>
                <w:rFonts w:eastAsia="" w:cs="Arial" w:ascii="Arial" w:hAnsi="Arial"/>
                <w:kern w:val="0"/>
                <w:sz w:val="22"/>
                <w:szCs w:val="22"/>
                <w:lang w:val="lt-LT" w:eastAsia="lt-LT" w:bidi="ar-SA"/>
              </w:rPr>
              <w:t>turėjo raštu pranešti apie priimtą sprendimą</w:t>
            </w:r>
          </w:p>
        </w:tc>
        <w:tc>
          <w:tcPr>
            <w:tcW w:w="3239" w:type="dxa"/>
            <w:tcBorders/>
          </w:tcPr>
          <w:p>
            <w:pPr>
              <w:pStyle w:val="Normal"/>
              <w:widowControl/>
              <w:suppressAutoHyphens w:val="true"/>
              <w:spacing w:lineRule="auto" w:line="240" w:before="0" w:after="0"/>
              <w:ind w:firstLine="34"/>
              <w:rPr>
                <w:rFonts w:ascii="Arial" w:hAnsi="Arial" w:cs="Arial"/>
                <w:sz w:val="22"/>
                <w:szCs w:val="22"/>
              </w:rPr>
            </w:pPr>
            <w:r>
              <w:rPr>
                <w:rFonts w:eastAsia="" w:cs="Arial" w:ascii="Arial" w:hAnsi="Arial"/>
                <w:kern w:val="0"/>
                <w:sz w:val="22"/>
                <w:szCs w:val="22"/>
                <w:lang w:val="lt-LT" w:eastAsia="lt-LT" w:bidi="ar-SA"/>
              </w:rPr>
            </w:r>
          </w:p>
        </w:tc>
      </w:tr>
    </w:tbl>
    <w:p>
      <w:pPr>
        <w:pStyle w:val="Normal"/>
        <w:jc w:val="center"/>
        <w:rPr>
          <w:rFonts w:ascii="Arial" w:hAnsi="Arial" w:eastAsia="Calibri" w:cs="Arial" w:eastAsiaTheme="minorHAnsi"/>
          <w:bCs/>
          <w:iCs/>
          <w:sz w:val="24"/>
          <w:szCs w:val="24"/>
        </w:rPr>
      </w:pPr>
      <w:r>
        <w:rPr>
          <w:rFonts w:eastAsia="Calibri" w:cs="Arial" w:ascii="Arial" w:hAnsi="Arial" w:eastAsiaTheme="minorHAnsi"/>
          <w:bCs/>
          <w:iCs/>
          <w:sz w:val="24"/>
          <w:szCs w:val="24"/>
        </w:rPr>
        <w:t>____________</w:t>
      </w:r>
    </w:p>
    <w:p>
      <w:pPr>
        <w:pStyle w:val="Normal"/>
        <w:jc w:val="center"/>
        <w:rPr>
          <w:rFonts w:ascii="Arial" w:hAnsi="Arial" w:eastAsia="Calibri" w:cs="Arial" w:eastAsiaTheme="minorHAnsi"/>
          <w:bCs/>
          <w:iCs/>
          <w:sz w:val="24"/>
          <w:szCs w:val="24"/>
        </w:rPr>
      </w:pPr>
      <w:r>
        <w:rPr>
          <w:rFonts w:eastAsia="Calibri" w:cs="Arial" w:eastAsiaTheme="minorHAnsi" w:ascii="Arial" w:hAnsi="Arial"/>
          <w:bCs/>
          <w:iCs/>
          <w:sz w:val="24"/>
          <w:szCs w:val="24"/>
        </w:rPr>
      </w:r>
    </w:p>
    <w:p>
      <w:pPr>
        <w:pStyle w:val="Normal"/>
        <w:jc w:val="center"/>
        <w:rPr>
          <w:rFonts w:ascii="Arial" w:hAnsi="Arial" w:eastAsia="Calibri" w:cs="Arial" w:eastAsiaTheme="minorHAnsi"/>
          <w:bCs/>
          <w:iCs/>
          <w:sz w:val="24"/>
          <w:szCs w:val="24"/>
        </w:rPr>
      </w:pPr>
      <w:r>
        <w:rPr>
          <w:rFonts w:eastAsia="Calibri" w:cs="Arial" w:eastAsiaTheme="minorHAnsi" w:ascii="Arial" w:hAnsi="Arial"/>
          <w:bCs/>
          <w:iCs/>
          <w:sz w:val="24"/>
          <w:szCs w:val="24"/>
        </w:rPr>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080" w:right="450" w:gutter="0" w:header="720" w:top="777" w:footer="720" w:bottom="777"/>
      <w:pgNumType w:start="0" w:fmt="decimal"/>
      <w:formProt w:val="false"/>
      <w:titlePg/>
      <w:textDirection w:val="lrTb"/>
      <w:docGrid w:type="default" w:linePitch="360" w:charSpace="1208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Garamond">
    <w:charset w:val="00"/>
    <w:family w:val="roman"/>
    <w:pitch w:val="variable"/>
  </w:font>
  <w:font w:name="Consolas">
    <w:charset w:val="00"/>
    <w:family w:val="roman"/>
    <w:pitch w:val="variable"/>
  </w:font>
  <w:font w:name="Liberation Sans">
    <w:altName w:val="Arial"/>
    <w:charset w:val="00"/>
    <w:family w:val="roman"/>
    <w:pitch w:val="variable"/>
  </w:font>
  <w:font w:name="Montserrat">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80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600"/>
      <w:gridCol w:w="3600"/>
      <w:gridCol w:w="3600"/>
    </w:tblGrid>
    <w:tr>
      <w:trPr/>
      <w:tc>
        <w:tcPr>
          <w:tcW w:w="3600" w:type="dxa"/>
          <w:tcBorders/>
        </w:tcPr>
        <w:p>
          <w:pPr>
            <w:pStyle w:val="Header"/>
            <w:widowControl w:val="false"/>
            <w:ind w:firstLine="697" w:left="-115"/>
            <w:jc w:val="left"/>
            <w:rPr/>
          </w:pPr>
          <w:r>
            <w:rPr/>
          </w:r>
        </w:p>
      </w:tc>
      <w:tc>
        <w:tcPr>
          <w:tcW w:w="3600" w:type="dxa"/>
          <w:tcBorders/>
        </w:tcPr>
        <w:p>
          <w:pPr>
            <w:pStyle w:val="Header"/>
            <w:widowControl w:val="false"/>
            <w:jc w:val="center"/>
            <w:rPr/>
          </w:pPr>
          <w:r>
            <w:rPr/>
          </w:r>
        </w:p>
      </w:tc>
      <w:tc>
        <w:tcPr>
          <w:tcW w:w="3600" w:type="dxa"/>
          <w:tcBorders/>
        </w:tcPr>
        <w:p>
          <w:pPr>
            <w:pStyle w:val="Header"/>
            <w:widowControl w:val="false"/>
            <w:ind w:firstLine="697" w:right="-115"/>
            <w:jc w:val="right"/>
            <w:rPr/>
          </w:pPr>
          <w:r>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80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600"/>
      <w:gridCol w:w="3600"/>
      <w:gridCol w:w="3600"/>
    </w:tblGrid>
    <w:tr>
      <w:trPr/>
      <w:tc>
        <w:tcPr>
          <w:tcW w:w="3600" w:type="dxa"/>
          <w:tcBorders/>
        </w:tcPr>
        <w:p>
          <w:pPr>
            <w:pStyle w:val="Header"/>
            <w:widowControl w:val="false"/>
            <w:ind w:firstLine="697" w:left="-115"/>
            <w:jc w:val="left"/>
            <w:rPr/>
          </w:pPr>
          <w:r>
            <w:rPr/>
          </w:r>
        </w:p>
      </w:tc>
      <w:tc>
        <w:tcPr>
          <w:tcW w:w="3600" w:type="dxa"/>
          <w:tcBorders/>
        </w:tcPr>
        <w:p>
          <w:pPr>
            <w:pStyle w:val="Header"/>
            <w:widowControl w:val="false"/>
            <w:jc w:val="center"/>
            <w:rPr/>
          </w:pPr>
          <w:r>
            <w:rPr/>
          </w:r>
        </w:p>
      </w:tc>
      <w:tc>
        <w:tcPr>
          <w:tcW w:w="3600" w:type="dxa"/>
          <w:tcBorders/>
        </w:tcPr>
        <w:p>
          <w:pPr>
            <w:pStyle w:val="Header"/>
            <w:widowControl w:val="false"/>
            <w:ind w:firstLine="697" w:right="-115"/>
            <w:jc w:val="right"/>
            <w:rPr/>
          </w:pPr>
          <w:r>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suff w:val="space"/>
      <w:lvlText w:val="%1."/>
      <w:lvlJc w:val="left"/>
      <w:pPr>
        <w:tabs>
          <w:tab w:val="num" w:pos="0"/>
        </w:tabs>
        <w:ind w:left="340" w:hanging="340"/>
      </w:pPr>
      <w:rPr/>
    </w:lvl>
    <w:lvl w:ilvl="1">
      <w:start w:val="1"/>
      <w:numFmt w:val="decimal"/>
      <w:suff w:val="space"/>
      <w:lvlText w:val="%1.%2."/>
      <w:lvlJc w:val="left"/>
      <w:pPr>
        <w:tabs>
          <w:tab w:val="num" w:pos="0"/>
        </w:tabs>
        <w:ind w:left="624" w:hanging="340"/>
      </w:pPr>
      <w:rPr/>
    </w:lvl>
    <w:lvl w:ilvl="2">
      <w:start w:val="1"/>
      <w:numFmt w:val="decimal"/>
      <w:suff w:val="space"/>
      <w:lvlText w:val="%1.%2.%3."/>
      <w:lvlJc w:val="left"/>
      <w:pPr>
        <w:tabs>
          <w:tab w:val="num" w:pos="0"/>
        </w:tabs>
        <w:ind w:left="340" w:hanging="340"/>
      </w:pPr>
      <w:rPr/>
    </w:lvl>
    <w:lvl w:ilvl="3">
      <w:start w:val="1"/>
      <w:numFmt w:val="decimal"/>
      <w:suff w:val="space"/>
      <w:lvlText w:val="%1.%2.%3.%4."/>
      <w:lvlJc w:val="left"/>
      <w:pPr>
        <w:tabs>
          <w:tab w:val="num" w:pos="0"/>
        </w:tabs>
        <w:ind w:left="340" w:hanging="340"/>
      </w:pPr>
      <w:rPr/>
    </w:lvl>
    <w:lvl w:ilvl="4">
      <w:start w:val="1"/>
      <w:numFmt w:val="decimal"/>
      <w:suff w:val="space"/>
      <w:lvlText w:val="%1.%2.%3.%4.%5."/>
      <w:lvlJc w:val="left"/>
      <w:pPr>
        <w:tabs>
          <w:tab w:val="num" w:pos="0"/>
        </w:tabs>
        <w:ind w:left="340" w:hanging="340"/>
      </w:pPr>
      <w:rPr/>
    </w:lvl>
    <w:lvl w:ilvl="5">
      <w:start w:val="1"/>
      <w:numFmt w:val="decimal"/>
      <w:suff w:val="space"/>
      <w:lvlText w:val="%1.%2.%3.%4.%5.%6."/>
      <w:lvlJc w:val="left"/>
      <w:pPr>
        <w:tabs>
          <w:tab w:val="num" w:pos="0"/>
        </w:tabs>
        <w:ind w:left="340" w:hanging="340"/>
      </w:pPr>
      <w:rPr/>
    </w:lvl>
    <w:lvl w:ilvl="6">
      <w:start w:val="1"/>
      <w:numFmt w:val="decimal"/>
      <w:lvlText w:val="%1.%2.%3.%4.%5.%6.%7"/>
      <w:lvlJc w:val="left"/>
      <w:pPr>
        <w:tabs>
          <w:tab w:val="num" w:pos="729"/>
        </w:tabs>
        <w:ind w:left="729" w:hanging="1296"/>
      </w:pPr>
      <w:rPr/>
    </w:lvl>
    <w:lvl w:ilvl="7">
      <w:start w:val="1"/>
      <w:numFmt w:val="decimal"/>
      <w:lvlText w:val="%1.%2.%3.%4.%5.%6.%7.%8"/>
      <w:lvlJc w:val="left"/>
      <w:pPr>
        <w:tabs>
          <w:tab w:val="num" w:pos="873"/>
        </w:tabs>
        <w:ind w:left="873" w:hanging="1440"/>
      </w:pPr>
      <w:rPr/>
    </w:lvl>
    <w:lvl w:ilvl="8">
      <w:start w:val="1"/>
      <w:numFmt w:val="decimal"/>
      <w:lvlText w:val="%1.%2.%3.%4.%5.%6.%7.%8.%9"/>
      <w:lvlJc w:val="left"/>
      <w:pPr>
        <w:tabs>
          <w:tab w:val="num" w:pos="1017"/>
        </w:tabs>
        <w:ind w:left="1017" w:hanging="1584"/>
      </w:pPr>
      <w:rPr/>
    </w:lvl>
  </w:abstractNum>
  <w:abstractNum w:abstractNumId="4">
    <w:lvl w:ilvl="0">
      <w:start w:val="1"/>
      <w:numFmt w:val="decimal"/>
      <w:lvlText w:val="%1."/>
      <w:lvlJc w:val="left"/>
      <w:pPr>
        <w:tabs>
          <w:tab w:val="num" w:pos="720"/>
        </w:tabs>
        <w:ind w:left="720" w:hanging="360"/>
      </w:pPr>
      <w:rPr>
        <w:b/>
        <w:rFonts w:ascii="Arial" w:hAnsi="Arial" w:cs="Arial"/>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5">
    <w:lvl w:ilvl="0">
      <w:start w:val="2"/>
      <w:numFmt w:val="decimal"/>
      <w:lvlText w:val="%1."/>
      <w:lvlJc w:val="left"/>
      <w:pPr>
        <w:tabs>
          <w:tab w:val="num" w:pos="720"/>
        </w:tabs>
        <w:ind w:left="720" w:hanging="360"/>
      </w:pPr>
      <w:rPr>
        <w:b/>
        <w:rFonts w:ascii="Arial" w:hAnsi="Arial" w:cs="Arial"/>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6">
    <w:lvl w:ilvl="0">
      <w:start w:val="3"/>
      <w:numFmt w:val="decimal"/>
      <w:lvlText w:val="%1."/>
      <w:lvlJc w:val="left"/>
      <w:pPr>
        <w:tabs>
          <w:tab w:val="num" w:pos="720"/>
        </w:tabs>
        <w:ind w:left="720" w:hanging="360"/>
      </w:pPr>
      <w:rPr>
        <w:b/>
        <w:rFonts w:ascii="Arial" w:hAnsi="Arial" w:cs="Arial"/>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7">
    <w:lvl w:ilvl="0">
      <w:start w:val="4"/>
      <w:numFmt w:val="decimal"/>
      <w:lvlText w:val="%1."/>
      <w:lvlJc w:val="left"/>
      <w:pPr>
        <w:tabs>
          <w:tab w:val="num" w:pos="720"/>
        </w:tabs>
        <w:ind w:left="720" w:hanging="360"/>
      </w:pPr>
      <w:rPr>
        <w:b/>
        <w:rFonts w:ascii="Arial" w:hAnsi="Arial" w:cs="Arial"/>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30"/>
  <w:defaultTabStop w:val="397"/>
  <w:autoHyphenation w:val="true"/>
  <w:hyphenationZone w:val="396"/>
  <w:compat>
    <w:compatSetting w:name="compatibilityMode" w:uri="http://schemas.microsoft.com/office/word" w:val="12"/>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uiPriority="0"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qFormat="1"/>
    <w:lsdException w:name="endnote reference" w:uiPriority="0"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uiPriority="0"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81735"/>
    <w:pPr>
      <w:widowControl/>
      <w:suppressAutoHyphens w:val="true"/>
      <w:bidi w:val="0"/>
      <w:spacing w:lineRule="auto" w:line="300" w:before="0" w:after="0"/>
      <w:ind w:firstLine="697"/>
      <w:jc w:val="both"/>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uiPriority w:val="9"/>
    <w:qFormat/>
    <w:rsid w:val="00281735"/>
    <w:pPr>
      <w:keepNext w:val="true"/>
      <w:keepLines/>
      <w:pBdr>
        <w:bottom w:val="single" w:sz="4" w:space="2" w:color="ED7D31"/>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unhideWhenUsed/>
    <w:qFormat/>
    <w:rsid w:val="00281735"/>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unhideWhenUsed/>
    <w:qFormat/>
    <w:rsid w:val="00281735"/>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281735"/>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281735"/>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281735"/>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281735"/>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281735"/>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281735"/>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281735"/>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uiPriority w:val="99"/>
    <w:rsid w:val="007f45b3"/>
    <w:rPr>
      <w:rFonts w:cs="Times New Roman"/>
      <w:color w:val="0000FF"/>
      <w:u w:val="singl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uiPriority w:val="11"/>
    <w:qFormat/>
    <w:rsid w:val="00281735"/>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FootnoteReference" w:customStyle="1">
    <w:name w:val="Footnote Reference"/>
    <w:rsid w:val="0069594d"/>
    <w:rPr>
      <w:vertAlign w:val="superscript"/>
    </w:rPr>
  </w:style>
  <w:style w:type="character" w:styleId="FootnoteCharacters" w:customStyle="1">
    <w:name w:val="Footnote Characters"/>
    <w:basedOn w:val="DefaultParagraphFont"/>
    <w:uiPriority w:val="99"/>
    <w:unhideWhenUsed/>
    <w:qFormat/>
    <w:rsid w:val="00d05666"/>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uiPriority w:val="99"/>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Hyperlink1" w:customStyle="1">
    <w:name w:val="Hyperlink1"/>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themeColor="text1" w:themeTint="a6" w:val="595959"/>
    </w:rPr>
  </w:style>
  <w:style w:type="character" w:styleId="Antrat2Diagrama" w:customStyle="1">
    <w:name w:val="Antraštė 2 Diagrama"/>
    <w:basedOn w:val="DefaultParagraphFont"/>
    <w:uiPriority w:val="9"/>
    <w:qFormat/>
    <w:rsid w:val="00281735"/>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qFormat/>
    <w:rsid w:val="00281735"/>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281735"/>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281735"/>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63601c"/>
    <w:rPr>
      <w:i/>
      <w:iCs/>
      <w:color w:themeColor="text1" w:val="000000"/>
    </w:rPr>
  </w:style>
  <w:style w:type="character" w:styleId="CitataDiagrama" w:customStyle="1">
    <w:name w:val="Citata Diagrama"/>
    <w:basedOn w:val="DefaultParagraphFont"/>
    <w:link w:val="Quote"/>
    <w:uiPriority w:val="29"/>
    <w:qFormat/>
    <w:rsid w:val="00281735"/>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281735"/>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281735"/>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281735"/>
    <w:rPr>
      <w:smallCaps/>
      <w:color w:themeColor="text1" w:themeTint="bf" w:val="404040"/>
      <w:spacing w:val="0"/>
      <w:u w:val="single" w:color="7F7F7F"/>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63601c"/>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EndnoteReference" w:customStyle="1">
    <w:name w:val="Endnote Reference"/>
    <w:rsid w:val="0069594d"/>
    <w:rPr>
      <w:vertAlign w:val="superscript"/>
    </w:rPr>
  </w:style>
  <w:style w:type="character" w:styleId="EndnoteCharacters" w:customStyle="1">
    <w:name w:val="Endnote Characters"/>
    <w:basedOn w:val="DefaultParagraphFont"/>
    <w:uiPriority w:val="99"/>
    <w:semiHidden/>
    <w:unhideWhenUsed/>
    <w:qFormat/>
    <w:rsid w:val="00482bc0"/>
    <w:rPr>
      <w:vertAlign w:val="superscript"/>
    </w:rPr>
  </w:style>
  <w:style w:type="character" w:styleId="Normal12ptChar" w:customStyle="1">
    <w:name w:val="Normal + 12 pt Char"/>
    <w:basedOn w:val="DefaultParagraphFont"/>
    <w:link w:val="Normal12pt"/>
    <w:qFormat/>
    <w:locked/>
    <w:rsid w:val="00a4394e"/>
    <w:rPr/>
  </w:style>
  <w:style w:type="character" w:styleId="Paragrafesrasas2lygisDiagrama" w:customStyle="1">
    <w:name w:val="_paragrafe sąrasas 2 lygis Diagrama"/>
    <w:basedOn w:val="DefaultParagraphFont"/>
    <w:qFormat/>
    <w:rsid w:val="004d2fb8"/>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qFormat/>
    <w:rsid w:val="004d2fb8"/>
    <w:rPr/>
  </w:style>
  <w:style w:type="character" w:styleId="Cf01" w:customStyle="1">
    <w:name w:val="cf01"/>
    <w:basedOn w:val="DefaultParagraphFont"/>
    <w:qFormat/>
    <w:rsid w:val="00f5411e"/>
    <w:rPr>
      <w:rFonts w:ascii="Segoe UI" w:hAnsi="Segoe UI" w:cs="Segoe UI"/>
      <w:sz w:val="18"/>
      <w:szCs w:val="18"/>
    </w:rPr>
  </w:style>
  <w:style w:type="character" w:styleId="Normaltextrun" w:customStyle="1">
    <w:name w:val="normaltextrun"/>
    <w:basedOn w:val="DefaultParagraphFont"/>
    <w:qFormat/>
    <w:rsid w:val="00a52ba0"/>
    <w:rPr/>
  </w:style>
  <w:style w:type="character" w:styleId="Rodyklssaitas" w:customStyle="1">
    <w:name w:val="Rodyklės saitas"/>
    <w:qFormat/>
    <w:rsid w:val="0069594d"/>
    <w:rPr/>
  </w:style>
  <w:style w:type="character" w:styleId="Inaosramenys">
    <w:name w:val="Išnašos rašmenys"/>
    <w:basedOn w:val="DefaultParagraphFont"/>
    <w:unhideWhenUsed/>
    <w:qFormat/>
    <w:rsid w:val="00b06182"/>
    <w:rPr>
      <w:vertAlign w:val="superscript"/>
    </w:rPr>
  </w:style>
  <w:style w:type="character" w:styleId="Galinsinaosramenys">
    <w:name w:val="Galinės išnašos rašmenys"/>
    <w:qFormat/>
    <w:rsid w:val="0063601c"/>
    <w:rPr>
      <w:vertAlign w:val="superscript"/>
    </w:rPr>
  </w:style>
  <w:style w:type="character" w:styleId="FontStyle24" w:customStyle="1">
    <w:name w:val="Font Style24"/>
    <w:uiPriority w:val="99"/>
    <w:qFormat/>
    <w:rsid w:val="006d0077"/>
    <w:rPr>
      <w:rFonts w:ascii="Times New Roman" w:hAnsi="Times New Roman" w:cs="Times New Roman"/>
      <w:sz w:val="24"/>
      <w:szCs w:val="24"/>
    </w:rPr>
  </w:style>
  <w:style w:type="character" w:styleId="SLONormalChar" w:customStyle="1">
    <w:name w:val="SLO Normal Char"/>
    <w:link w:val="SLONormal"/>
    <w:qFormat/>
    <w:locked/>
    <w:rsid w:val="00617cdf"/>
    <w:rPr>
      <w:rFonts w:ascii="Garamond" w:hAnsi="Garamond"/>
      <w:sz w:val="24"/>
    </w:rPr>
  </w:style>
  <w:style w:type="character" w:styleId="DefaultParagraphFont2" w:customStyle="1">
    <w:name w:val="Default Paragraph Font2"/>
    <w:qFormat/>
    <w:rsid w:val="006050b9"/>
    <w:rPr/>
  </w:style>
  <w:style w:type="character" w:styleId="Neapdorotaspaminjimas1" w:customStyle="1">
    <w:name w:val="Neapdorotas paminėjimas1"/>
    <w:basedOn w:val="DefaultParagraphFont"/>
    <w:uiPriority w:val="99"/>
    <w:semiHidden/>
    <w:unhideWhenUsed/>
    <w:qFormat/>
    <w:rsid w:val="0063601c"/>
    <w:rPr>
      <w:color w:val="808080"/>
      <w:shd w:fill="E6E6E6" w:val="clear"/>
    </w:rPr>
  </w:style>
  <w:style w:type="character" w:styleId="Internetlink" w:customStyle="1">
    <w:name w:val="Internet link"/>
    <w:qFormat/>
    <w:rsid w:val="0063601c"/>
    <w:rPr>
      <w:color w:val="000080"/>
      <w:u w:val="single"/>
    </w:rPr>
  </w:style>
  <w:style w:type="character" w:styleId="Paminjimas1" w:customStyle="1">
    <w:name w:val="Paminėjimas1"/>
    <w:basedOn w:val="DefaultParagraphFont"/>
    <w:uiPriority w:val="99"/>
    <w:unhideWhenUsed/>
    <w:qFormat/>
    <w:rsid w:val="0063601c"/>
    <w:rPr>
      <w:color w:val="2B579A"/>
      <w:shd w:fill="E6E6E6" w:val="clear"/>
    </w:rPr>
  </w:style>
  <w:style w:type="character" w:styleId="Cf11" w:customStyle="1">
    <w:name w:val="cf11"/>
    <w:basedOn w:val="DefaultParagraphFont"/>
    <w:qFormat/>
    <w:rsid w:val="0063601c"/>
    <w:rPr>
      <w:rFonts w:ascii="Segoe UI" w:hAnsi="Segoe UI" w:cs="Segoe UI"/>
      <w:color w:val="0000FF"/>
      <w:sz w:val="18"/>
      <w:szCs w:val="18"/>
    </w:rPr>
  </w:style>
  <w:style w:type="character" w:styleId="Cf21" w:customStyle="1">
    <w:name w:val="cf21"/>
    <w:basedOn w:val="DefaultParagraphFont"/>
    <w:qFormat/>
    <w:rsid w:val="0063601c"/>
    <w:rPr>
      <w:rFonts w:ascii="Segoe UI" w:hAnsi="Segoe UI" w:cs="Segoe UI"/>
      <w:color w:val="538135"/>
      <w:sz w:val="18"/>
      <w:szCs w:val="18"/>
    </w:rPr>
  </w:style>
  <w:style w:type="character" w:styleId="Hgkelc" w:customStyle="1">
    <w:name w:val="hgkelc"/>
    <w:basedOn w:val="DefaultParagraphFont"/>
    <w:qFormat/>
    <w:rsid w:val="0063601c"/>
    <w:rPr/>
  </w:style>
  <w:style w:type="character" w:styleId="UnresolvedMention1" w:customStyle="1">
    <w:name w:val="Unresolved Mention1"/>
    <w:basedOn w:val="DefaultParagraphFont"/>
    <w:uiPriority w:val="99"/>
    <w:semiHidden/>
    <w:unhideWhenUsed/>
    <w:qFormat/>
    <w:rsid w:val="0063601c"/>
    <w:rPr>
      <w:color w:val="605E5C"/>
      <w:shd w:fill="E1DFDD" w:val="clear"/>
    </w:rPr>
  </w:style>
  <w:style w:type="character" w:styleId="PaprastasistekstasDiagrama" w:customStyle="1">
    <w:name w:val="Paprastasis tekstas Diagrama"/>
    <w:basedOn w:val="DefaultParagraphFont"/>
    <w:link w:val="PlainText"/>
    <w:qFormat/>
    <w:rsid w:val="0063601c"/>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63601c"/>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63601c"/>
    <w:rPr>
      <w:rFonts w:ascii="Times New Roman" w:hAnsi="Times New Roman" w:eastAsia="Times New Roman" w:cs="Times New Roman"/>
      <w:sz w:val="24"/>
      <w:szCs w:val="24"/>
    </w:rPr>
  </w:style>
  <w:style w:type="character" w:styleId="Pagenumber">
    <w:name w:val="page number"/>
    <w:basedOn w:val="DefaultParagraphFont"/>
    <w:qFormat/>
    <w:rsid w:val="0063601c"/>
    <w:rPr/>
  </w:style>
  <w:style w:type="character" w:styleId="Apple-converted-space" w:customStyle="1">
    <w:name w:val="apple-converted-space"/>
    <w:basedOn w:val="DefaultParagraphFont"/>
    <w:qFormat/>
    <w:rsid w:val="0063601c"/>
    <w:rPr/>
  </w:style>
  <w:style w:type="character" w:styleId="CommentTextChar1" w:customStyle="1">
    <w:name w:val="Comment Text Char1"/>
    <w:basedOn w:val="DefaultParagraphFont"/>
    <w:qFormat/>
    <w:rsid w:val="0063601c"/>
    <w:rPr/>
  </w:style>
  <w:style w:type="character" w:styleId="DefaultParagraphFont1" w:customStyle="1">
    <w:name w:val="Default Paragraph Font1"/>
    <w:qFormat/>
    <w:rsid w:val="0063601c"/>
    <w:rPr/>
  </w:style>
  <w:style w:type="character" w:styleId="PagrindinistekstasDiagrama1" w:customStyle="1">
    <w:name w:val="Pagrindinis tekstas Diagrama1"/>
    <w:basedOn w:val="DefaultParagraphFont"/>
    <w:uiPriority w:val="99"/>
    <w:semiHidden/>
    <w:qFormat/>
    <w:rsid w:val="0063601c"/>
    <w:rPr>
      <w:rFonts w:eastAsia="" w:eastAsiaTheme="minorEastAsia"/>
      <w:sz w:val="21"/>
      <w:szCs w:val="21"/>
      <w:lang w:val="lt-LT" w:eastAsia="lt-LT"/>
    </w:rPr>
  </w:style>
  <w:style w:type="character" w:styleId="PuslapioinaostekstasDiagrama1" w:customStyle="1">
    <w:name w:val="Puslapio išnašos tekstas Diagrama1"/>
    <w:basedOn w:val="DefaultParagraphFont"/>
    <w:uiPriority w:val="99"/>
    <w:semiHidden/>
    <w:qFormat/>
    <w:rsid w:val="0063601c"/>
    <w:rPr>
      <w:rFonts w:eastAsia="" w:eastAsiaTheme="minorEastAsia"/>
      <w:sz w:val="20"/>
      <w:szCs w:val="20"/>
      <w:lang w:val="lt-LT" w:eastAsia="lt-LT"/>
    </w:rPr>
  </w:style>
  <w:style w:type="character" w:styleId="KomentarotekstasDiagrama1" w:customStyle="1">
    <w:name w:val="Komentaro tekstas Diagrama1"/>
    <w:basedOn w:val="DefaultParagraphFont"/>
    <w:uiPriority w:val="99"/>
    <w:semiHidden/>
    <w:qFormat/>
    <w:rsid w:val="0063601c"/>
    <w:rPr>
      <w:rFonts w:eastAsia="" w:eastAsiaTheme="minorEastAsia"/>
      <w:sz w:val="20"/>
      <w:szCs w:val="20"/>
      <w:lang w:val="lt-LT" w:eastAsia="lt-LT"/>
    </w:rPr>
  </w:style>
  <w:style w:type="character" w:styleId="PaantratDiagrama1" w:customStyle="1">
    <w:name w:val="Paantraštė Diagrama1"/>
    <w:basedOn w:val="DefaultParagraphFont"/>
    <w:uiPriority w:val="11"/>
    <w:qFormat/>
    <w:rsid w:val="0063601c"/>
    <w:rPr>
      <w:rFonts w:eastAsia="" w:eastAsiaTheme="minorEastAsia"/>
      <w:color w:themeColor="text1" w:themeTint="a5" w:val="5A5A5A"/>
      <w:spacing w:val="15"/>
      <w:lang w:val="lt-LT" w:eastAsia="lt-LT"/>
    </w:rPr>
  </w:style>
  <w:style w:type="character" w:styleId="DebesliotekstasDiagrama1" w:customStyle="1">
    <w:name w:val="Debesėlio tekstas Diagrama1"/>
    <w:basedOn w:val="DefaultParagraphFont"/>
    <w:uiPriority w:val="99"/>
    <w:semiHidden/>
    <w:qFormat/>
    <w:rsid w:val="0063601c"/>
    <w:rPr>
      <w:rFonts w:ascii="Segoe UI" w:hAnsi="Segoe UI" w:eastAsia="" w:cs="Segoe UI" w:eastAsiaTheme="minorEastAsia"/>
      <w:sz w:val="18"/>
      <w:szCs w:val="18"/>
      <w:lang w:val="lt-LT" w:eastAsia="lt-LT"/>
    </w:rPr>
  </w:style>
  <w:style w:type="character" w:styleId="KomentarotemaDiagrama1" w:customStyle="1">
    <w:name w:val="Komentaro tema Diagrama1"/>
    <w:basedOn w:val="KomentarotekstasDiagrama1"/>
    <w:uiPriority w:val="99"/>
    <w:semiHidden/>
    <w:qFormat/>
    <w:rsid w:val="0063601c"/>
    <w:rPr>
      <w:rFonts w:eastAsia="" w:eastAsiaTheme="minorEastAsia"/>
      <w:b/>
      <w:bCs/>
      <w:sz w:val="20"/>
      <w:szCs w:val="20"/>
      <w:lang w:val="lt-LT" w:eastAsia="lt-LT"/>
    </w:rPr>
  </w:style>
  <w:style w:type="character" w:styleId="AntratsDiagrama1" w:customStyle="1">
    <w:name w:val="Antraštės Diagrama1"/>
    <w:basedOn w:val="DefaultParagraphFont"/>
    <w:uiPriority w:val="99"/>
    <w:semiHidden/>
    <w:qFormat/>
    <w:rsid w:val="0063601c"/>
    <w:rPr>
      <w:rFonts w:eastAsia="" w:eastAsiaTheme="minorEastAsia"/>
      <w:sz w:val="21"/>
      <w:szCs w:val="21"/>
      <w:lang w:val="lt-LT" w:eastAsia="lt-LT"/>
    </w:rPr>
  </w:style>
  <w:style w:type="character" w:styleId="PoratDiagrama1" w:customStyle="1">
    <w:name w:val="Poraštė Diagrama1"/>
    <w:basedOn w:val="DefaultParagraphFont"/>
    <w:uiPriority w:val="99"/>
    <w:semiHidden/>
    <w:qFormat/>
    <w:rsid w:val="0063601c"/>
    <w:rPr>
      <w:rFonts w:eastAsia="" w:eastAsiaTheme="minorEastAsia"/>
      <w:sz w:val="21"/>
      <w:szCs w:val="21"/>
      <w:lang w:val="lt-LT" w:eastAsia="lt-LT"/>
    </w:rPr>
  </w:style>
  <w:style w:type="character" w:styleId="PavadinimasDiagrama1" w:customStyle="1">
    <w:name w:val="Pavadinimas Diagrama1"/>
    <w:basedOn w:val="DefaultParagraphFont"/>
    <w:uiPriority w:val="10"/>
    <w:qFormat/>
    <w:rsid w:val="0063601c"/>
    <w:rPr>
      <w:rFonts w:ascii="Calibri Light" w:hAnsi="Calibri Light" w:eastAsia="" w:cs="" w:asciiTheme="majorHAnsi" w:cstheme="majorBidi" w:eastAsiaTheme="majorEastAsia" w:hAnsiTheme="majorHAnsi"/>
      <w:spacing w:val="-10"/>
      <w:kern w:val="2"/>
      <w:sz w:val="56"/>
      <w:szCs w:val="56"/>
      <w:lang w:val="lt-LT" w:eastAsia="lt-LT"/>
    </w:rPr>
  </w:style>
  <w:style w:type="character" w:styleId="CitataDiagrama1" w:customStyle="1">
    <w:name w:val="Citata Diagrama1"/>
    <w:basedOn w:val="DefaultParagraphFont"/>
    <w:uiPriority w:val="29"/>
    <w:qFormat/>
    <w:rsid w:val="0063601c"/>
    <w:rPr>
      <w:rFonts w:eastAsia="" w:eastAsiaTheme="minorEastAsia"/>
      <w:i/>
      <w:iCs/>
      <w:color w:themeColor="text1" w:themeTint="bf" w:val="404040"/>
      <w:sz w:val="21"/>
      <w:szCs w:val="21"/>
      <w:lang w:val="lt-LT" w:eastAsia="lt-LT"/>
    </w:rPr>
  </w:style>
  <w:style w:type="character" w:styleId="IskirtacitataDiagrama1" w:customStyle="1">
    <w:name w:val="Išskirta citata Diagrama1"/>
    <w:basedOn w:val="DefaultParagraphFont"/>
    <w:uiPriority w:val="30"/>
    <w:qFormat/>
    <w:rsid w:val="0063601c"/>
    <w:rPr>
      <w:rFonts w:eastAsia="" w:eastAsiaTheme="minorEastAsia"/>
      <w:i/>
      <w:iCs/>
      <w:color w:themeColor="accent1" w:val="4472C4"/>
      <w:sz w:val="21"/>
      <w:szCs w:val="21"/>
      <w:lang w:val="lt-LT" w:eastAsia="lt-LT"/>
    </w:rPr>
  </w:style>
  <w:style w:type="character" w:styleId="DokumentoinaostekstasDiagrama1" w:customStyle="1">
    <w:name w:val="Dokumento išnašos tekstas Diagrama1"/>
    <w:basedOn w:val="DefaultParagraphFont"/>
    <w:uiPriority w:val="99"/>
    <w:semiHidden/>
    <w:qFormat/>
    <w:rsid w:val="0063601c"/>
    <w:rPr>
      <w:rFonts w:eastAsia="" w:eastAsiaTheme="minorEastAsia"/>
      <w:sz w:val="20"/>
      <w:szCs w:val="20"/>
      <w:lang w:val="lt-LT" w:eastAsia="lt-LT"/>
    </w:rPr>
  </w:style>
  <w:style w:type="character" w:styleId="Pagrindiniotekstotrauka2Diagrama1" w:customStyle="1">
    <w:name w:val="Pagrindinio teksto įtrauka 2 Diagrama1"/>
    <w:basedOn w:val="DefaultParagraphFont"/>
    <w:uiPriority w:val="99"/>
    <w:semiHidden/>
    <w:qFormat/>
    <w:rsid w:val="0063601c"/>
    <w:rPr>
      <w:rFonts w:eastAsia="" w:eastAsiaTheme="minorEastAsia"/>
      <w:sz w:val="21"/>
      <w:szCs w:val="21"/>
      <w:lang w:val="lt-LT" w:eastAsia="lt-LT"/>
    </w:rPr>
  </w:style>
  <w:style w:type="character" w:styleId="PaprastasistekstasDiagrama1" w:customStyle="1">
    <w:name w:val="Paprastasis tekstas Diagrama1"/>
    <w:basedOn w:val="DefaultParagraphFont"/>
    <w:uiPriority w:val="99"/>
    <w:semiHidden/>
    <w:qFormat/>
    <w:rsid w:val="0063601c"/>
    <w:rPr>
      <w:rFonts w:ascii="Consolas" w:hAnsi="Consolas"/>
    </w:rPr>
  </w:style>
  <w:style w:type="character" w:styleId="Pagrindiniotekstotrauka3Diagrama1" w:customStyle="1">
    <w:name w:val="Pagrindinio teksto įtrauka 3 Diagrama1"/>
    <w:basedOn w:val="DefaultParagraphFont"/>
    <w:uiPriority w:val="99"/>
    <w:semiHidden/>
    <w:qFormat/>
    <w:rsid w:val="0063601c"/>
    <w:rPr>
      <w:sz w:val="16"/>
      <w:szCs w:val="16"/>
    </w:rPr>
  </w:style>
  <w:style w:type="character" w:styleId="PagrindiniotekstotraukaDiagrama1" w:customStyle="1">
    <w:name w:val="Pagrindinio teksto įtrauka Diagrama1"/>
    <w:basedOn w:val="DefaultParagraphFont"/>
    <w:uiPriority w:val="99"/>
    <w:semiHidden/>
    <w:qFormat/>
    <w:rsid w:val="0063601c"/>
    <w:rPr/>
  </w:style>
  <w:style w:type="character" w:styleId="Pagrindinistekstas2Diagrama" w:customStyle="1">
    <w:name w:val="Pagrindinis tekstas 2 Diagrama"/>
    <w:basedOn w:val="DefaultParagraphFont"/>
    <w:link w:val="BodyText2"/>
    <w:uiPriority w:val="99"/>
    <w:semiHidden/>
    <w:qFormat/>
    <w:rsid w:val="00111f8f"/>
    <w:rPr/>
  </w:style>
  <w:style w:type="character" w:styleId="Pagrindinistekstas3Diagrama" w:customStyle="1">
    <w:name w:val="Pagrindinis tekstas 3 Diagrama"/>
    <w:basedOn w:val="DefaultParagraphFont"/>
    <w:link w:val="BodyText3"/>
    <w:uiPriority w:val="99"/>
    <w:semiHidden/>
    <w:qFormat/>
    <w:rsid w:val="00111f8f"/>
    <w:rPr>
      <w:sz w:val="16"/>
      <w:szCs w:val="16"/>
    </w:rPr>
  </w:style>
  <w:style w:type="character" w:styleId="HTMLiankstoformatuotasDiagrama" w:customStyle="1">
    <w:name w:val="HTML iš anksto formatuotas Diagrama"/>
    <w:basedOn w:val="DefaultParagraphFont"/>
    <w:link w:val="HTMLPreformatted"/>
    <w:uiPriority w:val="99"/>
    <w:semiHidden/>
    <w:qFormat/>
    <w:rsid w:val="00c81de6"/>
    <w:rPr>
      <w:rFonts w:ascii="Consolas" w:hAnsi="Consolas"/>
      <w:sz w:val="20"/>
      <w:szCs w:val="20"/>
    </w:rPr>
  </w:style>
  <w:style w:type="character" w:styleId="HTMLiankstoformatuotasDiagrama1" w:customStyle="1">
    <w:name w:val="HTML iš anksto formatuotas Diagrama1"/>
    <w:basedOn w:val="DefaultParagraphFont"/>
    <w:uiPriority w:val="99"/>
    <w:semiHidden/>
    <w:qFormat/>
    <w:rsid w:val="00c81de6"/>
    <w:rPr>
      <w:rFonts w:ascii="Consolas" w:hAnsi="Consolas"/>
      <w:sz w:val="20"/>
      <w:szCs w:val="20"/>
    </w:rPr>
  </w:style>
  <w:style w:type="character" w:styleId="HTMLiankstoformatuotasDiagrama2" w:customStyle="1">
    <w:name w:val="HTML iš anksto formatuotas Diagrama2"/>
    <w:basedOn w:val="DefaultParagraphFont"/>
    <w:uiPriority w:val="99"/>
    <w:semiHidden/>
    <w:qFormat/>
    <w:rsid w:val="00c81de6"/>
    <w:rPr>
      <w:rFonts w:ascii="Consolas" w:hAnsi="Consolas"/>
      <w:sz w:val="20"/>
      <w:szCs w:val="20"/>
    </w:rPr>
  </w:style>
  <w:style w:type="character" w:styleId="StrongEmphasis" w:customStyle="1">
    <w:name w:val="Strong Emphasis"/>
    <w:qFormat/>
    <w:rsid w:val="00ac556c"/>
    <w:rPr>
      <w:b/>
      <w:bCs/>
    </w:rPr>
  </w:style>
  <w:style w:type="character" w:styleId="FontStyle14" w:customStyle="1">
    <w:name w:val="Font Style14"/>
    <w:qFormat/>
    <w:rsid w:val="00163d45"/>
    <w:rPr>
      <w:rFonts w:ascii="Times New Roman" w:hAnsi="Times New Roman" w:cs="Times New Roman"/>
      <w:sz w:val="18"/>
      <w:szCs w:val="18"/>
    </w:rPr>
  </w:style>
  <w:style w:type="paragraph" w:styleId="Antrat" w:customStyle="1">
    <w:name w:val="Antraštė"/>
    <w:basedOn w:val="Normal"/>
    <w:next w:val="BodyText"/>
    <w:qFormat/>
    <w:rsid w:val="00c81de6"/>
    <w:pPr>
      <w:keepNext w:val="true"/>
      <w:spacing w:lineRule="auto" w:line="259" w:before="240" w:after="120"/>
      <w:ind w:hanging="0"/>
      <w:jc w:val="left"/>
    </w:pPr>
    <w:rPr>
      <w:rFonts w:ascii="Liberation Sans" w:hAnsi="Liberation Sans" w:eastAsia="Microsoft YaHei" w:cs="Arial"/>
      <w:kern w:val="2"/>
      <w:sz w:val="28"/>
      <w:szCs w:val="28"/>
      <w:lang w:val="en-US" w:eastAsia="en-US"/>
    </w:rPr>
  </w:style>
  <w:style w:type="paragraph" w:styleId="BodyText">
    <w:name w:val="Body Text"/>
    <w:basedOn w:val="Normal"/>
    <w:link w:val="PagrindinistekstasDiagrama"/>
    <w:uiPriority w:val="99"/>
    <w:rsid w:val="00fa144d"/>
    <w:pPr>
      <w:ind w:firstLine="567"/>
    </w:pPr>
    <w:rPr>
      <w:szCs w:val="20"/>
    </w:rPr>
  </w:style>
  <w:style w:type="paragraph" w:styleId="List">
    <w:name w:val="List"/>
    <w:basedOn w:val="BodyText"/>
    <w:rsid w:val="0069594d"/>
    <w:pPr/>
    <w:rPr>
      <w:rFonts w:cs="Arial Unicode M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rsid w:val="00c81de6"/>
    <w:pPr>
      <w:suppressLineNumbers/>
      <w:spacing w:lineRule="auto" w:line="259" w:before="0" w:after="160"/>
      <w:ind w:hanging="0"/>
      <w:jc w:val="left"/>
    </w:pPr>
    <w:rPr>
      <w:rFonts w:eastAsia="Aptos" w:cs="Arial"/>
      <w:kern w:val="2"/>
      <w:sz w:val="22"/>
      <w:szCs w:val="22"/>
      <w:lang w:val="en-US" w:eastAsia="en-US"/>
    </w:rPr>
  </w:style>
  <w:style w:type="paragraph" w:styleId="Antrat1" w:customStyle="1">
    <w:name w:val="Antraštė1"/>
    <w:next w:val="Body2"/>
    <w:qFormat/>
    <w:rsid w:val="00072fe6"/>
    <w:pPr>
      <w:widowControl/>
      <w:suppressAutoHyphens w:val="true"/>
      <w:bidi w:val="0"/>
      <w:spacing w:before="0" w:after="0"/>
      <w:ind w:firstLine="697"/>
      <w:jc w:val="both"/>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
    <w:name w:val="caption1"/>
    <w:basedOn w:val="Normal"/>
    <w:next w:val="Normal"/>
    <w:unhideWhenUsed/>
    <w:qFormat/>
    <w:rsid w:val="00281735"/>
    <w:pPr>
      <w:spacing w:lineRule="auto" w:line="240"/>
    </w:pPr>
    <w:rPr>
      <w:b/>
      <w:bCs/>
      <w:color w:themeColor="text1" w:themeTint="bf" w:val="404040"/>
      <w:sz w:val="16"/>
      <w:szCs w:val="16"/>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uiPriority w:val="11"/>
    <w:qFormat/>
    <w:rsid w:val="00281735"/>
    <w:pPr>
      <w:spacing w:before="0" w:after="240"/>
      <w:ind w:hanging="437" w:left="1004"/>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0"/>
      <w:ind w:left="720"/>
      <w:contextualSpacing/>
    </w:pPr>
    <w:rPr/>
  </w:style>
  <w:style w:type="paragraph" w:styleId="BalloonText">
    <w:name w:val="Balloon Text"/>
    <w:basedOn w:val="Normal"/>
    <w:link w:val="DebesliotekstasDiagrama"/>
    <w:uiPriority w:val="99"/>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rsid w:val="0069594d"/>
    <w:pPr/>
    <w:rPr/>
  </w:style>
  <w:style w:type="paragraph" w:styleId="Header">
    <w:name w:val="Header"/>
    <w:basedOn w:val="Normal"/>
    <w:link w:val="AntratsDiagrama"/>
    <w:unhideWhenUsed/>
    <w:rsid w:val="00f560b4"/>
    <w:pPr>
      <w:tabs>
        <w:tab w:val="clear" w:pos="397"/>
        <w:tab w:val="center" w:pos="4513" w:leader="none"/>
        <w:tab w:val="right" w:pos="9026" w:leader="none"/>
      </w:tabs>
    </w:pPr>
    <w:rPr/>
  </w:style>
  <w:style w:type="paragraph" w:styleId="Footer">
    <w:name w:val="Footer"/>
    <w:basedOn w:val="Normal"/>
    <w:link w:val="PoratDiagrama"/>
    <w:uiPriority w:val="99"/>
    <w:unhideWhenUsed/>
    <w:rsid w:val="00f560b4"/>
    <w:pPr>
      <w:tabs>
        <w:tab w:val="clear" w:pos="397"/>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ind w:firstLine="697"/>
      <w:jc w:val="both"/>
    </w:pPr>
    <w:rPr>
      <w:rFonts w:ascii="Times New Roman" w:hAnsi="Times New Roman" w:eastAsia="" w:cs="" w:cstheme="minorBidi" w:eastAsiaTheme="minorEastAsia"/>
      <w:color w:val="auto"/>
      <w:kern w:val="0"/>
      <w:sz w:val="24"/>
      <w:szCs w:val="24"/>
      <w:lang w:eastAsia="en-US" w:val="lt-LT" w:bidi="ar-SA"/>
    </w:rPr>
  </w:style>
  <w:style w:type="paragraph" w:styleId="Title">
    <w:name w:val="Title"/>
    <w:basedOn w:val="Normal"/>
    <w:next w:val="Normal"/>
    <w:link w:val="PavadinimasDiagrama"/>
    <w:uiPriority w:val="10"/>
    <w:qFormat/>
    <w:rsid w:val="00281735"/>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281735"/>
    <w:pPr>
      <w:widowControl/>
      <w:suppressAutoHyphens w:val="true"/>
      <w:bidi w:val="0"/>
      <w:spacing w:before="0" w:after="0"/>
      <w:ind w:firstLine="697"/>
      <w:jc w:val="both"/>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281735"/>
    <w:pPr>
      <w:spacing w:before="160" w:after="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281735"/>
    <w:pPr>
      <w:pBdr>
        <w:top w:val="single" w:sz="24" w:space="4" w:color="ED7D31"/>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281735"/>
    <w:pPr/>
    <w:rPr/>
  </w:style>
  <w:style w:type="paragraph" w:styleId="TOC1">
    <w:name w:val="TOC 1"/>
    <w:basedOn w:val="Normal"/>
    <w:next w:val="Normal"/>
    <w:autoRedefine/>
    <w:uiPriority w:val="39"/>
    <w:unhideWhenUsed/>
    <w:rsid w:val="003f2ad4"/>
    <w:pPr>
      <w:tabs>
        <w:tab w:val="clear" w:pos="397"/>
        <w:tab w:val="left" w:pos="426" w:leader="none"/>
        <w:tab w:val="left" w:pos="1100" w:leader="none"/>
        <w:tab w:val="right" w:pos="9962" w:leader="dot"/>
      </w:tabs>
      <w:ind w:hanging="0" w:right="877"/>
    </w:pPr>
    <w:rPr>
      <w:rFonts w:cs="Calibri" w:cstheme="minorHAnsi"/>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ind w:firstLine="697"/>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d735b"/>
    <w:pPr>
      <w:tabs>
        <w:tab w:val="clear" w:pos="397"/>
        <w:tab w:val="right" w:pos="9962" w:leader="dot"/>
      </w:tabs>
      <w:ind w:left="220"/>
    </w:pPr>
    <w:rPr/>
  </w:style>
  <w:style w:type="paragraph" w:styleId="S1lygis" w:customStyle="1">
    <w:name w:val="_S 1 lygis"/>
    <w:basedOn w:val="Normal"/>
    <w:qFormat/>
    <w:rsid w:val="00bc0ec9"/>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tabs>
        <w:tab w:val="clear" w:pos="397"/>
        <w:tab w:val="left" w:pos="709" w:leader="none"/>
      </w:tabs>
      <w:spacing w:lineRule="auto" w:line="240" w:before="120" w:after="120"/>
      <w:ind w:hanging="709" w:left="709"/>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pPr>
    <w:rPr>
      <w:sz w:val="20"/>
      <w:szCs w:val="20"/>
    </w:rPr>
  </w:style>
  <w:style w:type="paragraph" w:styleId="Normal12pt" w:customStyle="1">
    <w:name w:val="Normal + 12 pt"/>
    <w:basedOn w:val="Normal"/>
    <w:link w:val="Normal12ptChar"/>
    <w:qFormat/>
    <w:rsid w:val="00a4394e"/>
    <w:pPr>
      <w:spacing w:lineRule="auto" w:line="240"/>
      <w:ind w:right="-283"/>
    </w:pPr>
    <w:rPr/>
  </w:style>
  <w:style w:type="paragraph" w:styleId="Paragrafesrasas2lygis" w:customStyle="1">
    <w:name w:val="_paragrafe sąrasas 2 lygis"/>
    <w:basedOn w:val="BodyTextIndent2"/>
    <w:qFormat/>
    <w:rsid w:val="004d2fb8"/>
    <w:pPr>
      <w:spacing w:lineRule="auto" w:line="276"/>
      <w:ind w:hanging="0" w:left="0"/>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iPriority w:val="99"/>
    <w:unhideWhenUsed/>
    <w:qFormat/>
    <w:rsid w:val="004d2fb8"/>
    <w:pPr>
      <w:spacing w:lineRule="auto" w:line="480" w:before="0" w:after="120"/>
      <w:ind w:left="283"/>
    </w:pPr>
    <w:rPr/>
  </w:style>
  <w:style w:type="paragraph" w:styleId="Pantraste" w:customStyle="1">
    <w:name w:val="P.antraste"/>
    <w:basedOn w:val="Normal"/>
    <w:qFormat/>
    <w:rsid w:val="008f7cc2"/>
    <w:pPr>
      <w:spacing w:lineRule="auto" w:line="240"/>
      <w:ind w:hanging="0" w:left="-142"/>
      <w:jc w:val="center"/>
    </w:pPr>
    <w:rPr>
      <w:rFonts w:ascii="Times New Roman" w:hAnsi="Times New Roman" w:eastAsia="Times New Roman" w:cs="Times New Roman"/>
      <w:b/>
      <w:sz w:val="24"/>
      <w:szCs w:val="24"/>
      <w:lang w:eastAsia="en-US"/>
    </w:rPr>
  </w:style>
  <w:style w:type="paragraph" w:styleId="SLONormalnospace" w:customStyle="1">
    <w:name w:val="SLO Normal (nospace)"/>
    <w:basedOn w:val="Normal"/>
    <w:qFormat/>
    <w:rsid w:val="007f45b3"/>
    <w:pPr>
      <w:suppressAutoHyphens w:val="false"/>
      <w:overflowPunct w:val="true"/>
      <w:spacing w:lineRule="auto" w:line="240"/>
      <w:ind w:hanging="0"/>
    </w:pPr>
    <w:rPr>
      <w:rFonts w:ascii="Garamond" w:hAnsi="Garamond" w:eastAsia="Calibri" w:eastAsiaTheme="minorHAnsi"/>
      <w:sz w:val="24"/>
      <w:szCs w:val="22"/>
      <w:lang w:eastAsia="en-US"/>
    </w:rPr>
  </w:style>
  <w:style w:type="paragraph" w:styleId="Style6" w:customStyle="1">
    <w:name w:val="Style6"/>
    <w:basedOn w:val="Normal"/>
    <w:uiPriority w:val="99"/>
    <w:qFormat/>
    <w:rsid w:val="006d0077"/>
    <w:pPr>
      <w:widowControl w:val="false"/>
      <w:suppressAutoHyphens w:val="false"/>
      <w:spacing w:lineRule="exact" w:line="274"/>
      <w:ind w:hanging="0"/>
      <w:jc w:val="center"/>
    </w:pPr>
    <w:rPr>
      <w:rFonts w:ascii="Times New Roman" w:hAnsi="Times New Roman" w:eastAsia="Times New Roman" w:cs="Times New Roman"/>
      <w:sz w:val="24"/>
      <w:szCs w:val="24"/>
      <w:lang w:val="en-US" w:eastAsia="en-US"/>
    </w:rPr>
  </w:style>
  <w:style w:type="paragraph" w:styleId="SLONormal" w:customStyle="1">
    <w:name w:val="SLO Normal"/>
    <w:link w:val="SLONormalChar"/>
    <w:qFormat/>
    <w:rsid w:val="00617cdf"/>
    <w:pPr>
      <w:widowControl/>
      <w:suppressAutoHyphens w:val="false"/>
      <w:overflowPunct w:val="true"/>
      <w:bidi w:val="0"/>
      <w:spacing w:before="120" w:after="120"/>
      <w:jc w:val="both"/>
    </w:pPr>
    <w:rPr>
      <w:rFonts w:ascii="Garamond" w:hAnsi="Garamond" w:eastAsia="" w:cs="" w:cstheme="minorBidi" w:eastAsiaTheme="minorEastAsia"/>
      <w:color w:val="auto"/>
      <w:kern w:val="0"/>
      <w:sz w:val="24"/>
      <w:szCs w:val="21"/>
      <w:lang w:val="lt-LT" w:eastAsia="lt-LT" w:bidi="ar-SA"/>
    </w:rPr>
  </w:style>
  <w:style w:type="paragraph" w:styleId="Standard" w:customStyle="1">
    <w:name w:val="Standard"/>
    <w:qFormat/>
    <w:rsid w:val="003f7c08"/>
    <w:pPr>
      <w:widowControl/>
      <w:suppressAutoHyphens w:val="true"/>
      <w:bidi w:val="0"/>
      <w:spacing w:lineRule="auto" w:line="276" w:before="0" w:after="160"/>
      <w:jc w:val="left"/>
      <w:textAlignment w:val="baseline"/>
    </w:pPr>
    <w:rPr>
      <w:rFonts w:ascii="Calibri" w:hAnsi="Calibri" w:eastAsia="Segoe UI" w:cs="Tahoma" w:asciiTheme="minorHAnsi" w:hAnsiTheme="minorHAnsi"/>
      <w:color w:val="auto"/>
      <w:kern w:val="0"/>
      <w:sz w:val="21"/>
      <w:szCs w:val="21"/>
      <w:lang w:val="lt-LT" w:eastAsia="lt-LT" w:bidi="ar-SA"/>
    </w:rPr>
  </w:style>
  <w:style w:type="paragraph" w:styleId="Western" w:customStyle="1">
    <w:name w:val="western"/>
    <w:basedOn w:val="Standard"/>
    <w:qFormat/>
    <w:rsid w:val="006e6cb0"/>
    <w:pPr>
      <w:spacing w:before="280" w:after="159"/>
      <w:ind w:firstLine="567"/>
      <w:jc w:val="both"/>
    </w:pPr>
    <w:rPr>
      <w:rFonts w:ascii="Times New Roman" w:hAnsi="Times New Roman" w:eastAsia="Times New Roman" w:cs="Times New Roman"/>
      <w:sz w:val="24"/>
      <w:szCs w:val="24"/>
    </w:rPr>
  </w:style>
  <w:style w:type="paragraph" w:styleId="Textbody" w:customStyle="1">
    <w:name w:val="Text body"/>
    <w:basedOn w:val="Standard"/>
    <w:qFormat/>
    <w:rsid w:val="00465c20"/>
    <w:pPr>
      <w:ind w:firstLine="567"/>
      <w:jc w:val="both"/>
    </w:pPr>
    <w:rPr>
      <w:szCs w:val="20"/>
    </w:rPr>
  </w:style>
  <w:style w:type="paragraph" w:styleId="Lentelsturinys" w:customStyle="1">
    <w:name w:val="Lentelės turinys"/>
    <w:basedOn w:val="Standard"/>
    <w:qFormat/>
    <w:rsid w:val="00ac556c"/>
    <w:pPr>
      <w:widowControl w:val="false"/>
      <w:suppressLineNumbers/>
      <w:spacing w:lineRule="auto" w:line="240" w:before="0" w:after="0"/>
    </w:pPr>
    <w:rPr>
      <w:rFonts w:ascii="Liberation Serif" w:hAnsi="Liberation Serif"/>
      <w:color w:val="000000"/>
      <w:kern w:val="2"/>
      <w:sz w:val="24"/>
      <w:szCs w:val="24"/>
      <w:lang w:eastAsia="zh-CN" w:bidi="hi-IN"/>
    </w:rPr>
  </w:style>
  <w:style w:type="paragraph" w:styleId="Point1" w:customStyle="1">
    <w:name w:val="point1"/>
    <w:basedOn w:val="Normal"/>
    <w:qFormat/>
    <w:rsid w:val="00ed4419"/>
    <w:pPr>
      <w:spacing w:lineRule="auto" w:line="240" w:beforeAutospacing="1" w:afterAutospacing="1"/>
      <w:ind w:hanging="0"/>
      <w:jc w:val="left"/>
    </w:pPr>
    <w:rPr>
      <w:rFonts w:ascii="Times New Roman" w:hAnsi="Times New Roman" w:eastAsia="Times New Roman" w:cs="Times New Roman"/>
      <w:sz w:val="24"/>
      <w:szCs w:val="24"/>
    </w:rPr>
  </w:style>
  <w:style w:type="paragraph" w:styleId="Caption11" w:customStyle="1">
    <w:name w:val="caption11"/>
    <w:basedOn w:val="Normal"/>
    <w:qFormat/>
    <w:rsid w:val="0063601c"/>
    <w:pPr>
      <w:suppressLineNumbers/>
      <w:spacing w:lineRule="auto" w:line="276" w:before="120" w:after="120"/>
      <w:ind w:hanging="0"/>
      <w:jc w:val="left"/>
    </w:pPr>
    <w:rPr>
      <w:rFonts w:cs="Lucida Sans"/>
      <w:i/>
      <w:iCs/>
      <w:sz w:val="24"/>
      <w:szCs w:val="24"/>
    </w:rPr>
  </w:style>
  <w:style w:type="paragraph" w:styleId="Caption111" w:customStyle="1">
    <w:name w:val="caption111"/>
    <w:basedOn w:val="Normal"/>
    <w:next w:val="Normal"/>
    <w:uiPriority w:val="35"/>
    <w:unhideWhenUsed/>
    <w:qFormat/>
    <w:rsid w:val="0063601c"/>
    <w:pPr>
      <w:spacing w:lineRule="auto" w:line="240" w:before="0" w:after="160"/>
      <w:ind w:hanging="0"/>
      <w:jc w:val="left"/>
    </w:pPr>
    <w:rPr>
      <w:b/>
      <w:bCs/>
      <w:color w:themeColor="text1" w:themeTint="bf" w:val="404040"/>
      <w:sz w:val="16"/>
      <w:szCs w:val="16"/>
    </w:rPr>
  </w:style>
  <w:style w:type="paragraph" w:styleId="Indexheading1" w:customStyle="1">
    <w:name w:val="index heading1"/>
    <w:basedOn w:val="Antrat1"/>
    <w:qFormat/>
    <w:rsid w:val="0063601c"/>
    <w:pPr>
      <w:ind w:hanging="0"/>
      <w:jc w:val="left"/>
    </w:pPr>
    <w:rPr/>
  </w:style>
  <w:style w:type="paragraph" w:styleId="Index1">
    <w:name w:val="index 1"/>
    <w:basedOn w:val="Normal"/>
    <w:next w:val="Normal"/>
    <w:autoRedefine/>
    <w:uiPriority w:val="99"/>
    <w:semiHidden/>
    <w:unhideWhenUsed/>
    <w:qFormat/>
    <w:rsid w:val="0063601c"/>
    <w:pPr>
      <w:spacing w:lineRule="auto" w:line="240"/>
      <w:ind w:hanging="210" w:left="210"/>
      <w:jc w:val="left"/>
    </w:pPr>
    <w:rPr/>
  </w:style>
  <w:style w:type="paragraph" w:styleId="Indexheading2">
    <w:name w:val="index heading2"/>
    <w:basedOn w:val="Caption1"/>
    <w:qFormat/>
    <w:rsid w:val="0063601c"/>
    <w:pPr>
      <w:suppressLineNumbers/>
      <w:spacing w:lineRule="auto" w:line="276" w:before="120" w:after="120"/>
      <w:ind w:hanging="0"/>
      <w:jc w:val="left"/>
    </w:pPr>
    <w:rPr>
      <w:rFonts w:cs="Lucida Sans"/>
      <w:b w:val="false"/>
      <w:bCs w:val="false"/>
      <w:i/>
      <w:iCs/>
      <w:color w:themeColor="text1" w:themeTint="bf" w:val="auto"/>
      <w:sz w:val="24"/>
      <w:szCs w:val="24"/>
    </w:rPr>
  </w:style>
  <w:style w:type="paragraph" w:styleId="Pf0" w:customStyle="1">
    <w:name w:val="pf0"/>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lang w:val="en-US" w:eastAsia="en-US"/>
    </w:rPr>
  </w:style>
  <w:style w:type="paragraph" w:styleId="Diagrama11" w:customStyle="1">
    <w:name w:val="Diagrama11"/>
    <w:basedOn w:val="Normal"/>
    <w:next w:val="FootnoteText"/>
    <w:uiPriority w:val="99"/>
    <w:qFormat/>
    <w:rsid w:val="0063601c"/>
    <w:pPr>
      <w:spacing w:lineRule="auto" w:line="240"/>
      <w:ind w:hanging="0"/>
    </w:pPr>
    <w:rPr>
      <w:rFonts w:ascii="Times New Roman" w:hAnsi="Times New Roman" w:cs="Times New Roman"/>
      <w:sz w:val="20"/>
      <w:szCs w:val="20"/>
    </w:rPr>
  </w:style>
  <w:style w:type="paragraph" w:styleId="Default" w:customStyle="1">
    <w:name w:val="Default"/>
    <w:qFormat/>
    <w:rsid w:val="0063601c"/>
    <w:pPr>
      <w:widowControl/>
      <w:suppressAutoHyphens w:val="true"/>
      <w:bidi w:val="0"/>
      <w:spacing w:before="0" w:after="0"/>
      <w:jc w:val="left"/>
    </w:pPr>
    <w:rPr>
      <w:rFonts w:ascii="Montserrat" w:hAnsi="Montserrat" w:eastAsia="Calibri" w:cs="Montserrat" w:eastAsiaTheme="minorHAnsi"/>
      <w:color w:val="000000"/>
      <w:kern w:val="0"/>
      <w:sz w:val="24"/>
      <w:szCs w:val="24"/>
      <w:lang w:eastAsia="en-US" w:val="lt-LT" w:bidi="ar-SA"/>
    </w:rPr>
  </w:style>
  <w:style w:type="paragraph" w:styleId="Arno1" w:customStyle="1">
    <w:name w:val="arno1"/>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63601c"/>
    <w:pPr>
      <w:spacing w:lineRule="auto" w:line="240" w:before="0" w:after="120"/>
      <w:ind w:hanging="0" w:left="283"/>
      <w:jc w:val="left"/>
    </w:pPr>
    <w:rPr>
      <w:rFonts w:ascii="Times New Roman" w:hAnsi="Times New Roman" w:eastAsia="Times New Roman" w:cs="Times New Roman"/>
      <w:sz w:val="16"/>
      <w:szCs w:val="16"/>
    </w:rPr>
  </w:style>
  <w:style w:type="paragraph" w:styleId="Msolistparagraph" w:customStyle="1">
    <w:name w:val="msolistparagraph"/>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63601c"/>
    <w:pPr>
      <w:spacing w:lineRule="auto" w:line="240" w:before="0" w:after="120"/>
      <w:ind w:hanging="0" w:left="283"/>
      <w:jc w:val="left"/>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Couriernormal0" w:customStyle="1">
    <w:name w:val="couriernormal0"/>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Listparagraph1" w:customStyle="1">
    <w:name w:val="listparagraph1"/>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Nospacing1" w:customStyle="1">
    <w:name w:val="nospacing1"/>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766" w:customStyle="1">
    <w:name w:val="766"/>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Msonormal" w:customStyle="1">
    <w:name w:val="msonormal"/>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Xl65" w:customStyle="1">
    <w:name w:val="xl65"/>
    <w:basedOn w:val="Normal"/>
    <w:qFormat/>
    <w:rsid w:val="0063601c"/>
    <w:pPr>
      <w:spacing w:lineRule="auto" w:line="240" w:beforeAutospacing="1" w:afterAutospacing="1"/>
      <w:ind w:hanging="0"/>
      <w:jc w:val="left"/>
    </w:pPr>
    <w:rPr>
      <w:rFonts w:ascii="Times New Roman" w:hAnsi="Times New Roman" w:eastAsia="Times New Roman" w:cs="Times New Roman"/>
      <w:sz w:val="24"/>
      <w:szCs w:val="24"/>
    </w:rPr>
  </w:style>
  <w:style w:type="paragraph" w:styleId="Xl66" w:customStyle="1">
    <w:name w:val="xl66"/>
    <w:basedOn w:val="Normal"/>
    <w:qFormat/>
    <w:rsid w:val="0063601c"/>
    <w:pPr>
      <w:spacing w:lineRule="auto" w:line="240" w:beforeAutospacing="1" w:afterAutospacing="1"/>
      <w:ind w:hanging="0"/>
      <w:jc w:val="left"/>
      <w:textAlignment w:val="center"/>
    </w:pPr>
    <w:rPr>
      <w:rFonts w:ascii="Times New Roman" w:hAnsi="Times New Roman" w:eastAsia="Times New Roman" w:cs="Times New Roman"/>
      <w:sz w:val="24"/>
      <w:szCs w:val="24"/>
    </w:rPr>
  </w:style>
  <w:style w:type="paragraph" w:styleId="Xl67" w:customStyle="1">
    <w:name w:val="xl67"/>
    <w:basedOn w:val="Normal"/>
    <w:qFormat/>
    <w:rsid w:val="0063601c"/>
    <w:pPr>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63601c"/>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63601c"/>
    <w:pPr>
      <w:spacing w:lineRule="auto" w:line="240" w:beforeAutospacing="1" w:afterAutospacing="1"/>
      <w:ind w:hanging="0"/>
      <w:jc w:val="left"/>
    </w:pPr>
    <w:rPr>
      <w:rFonts w:ascii="Times New Roman" w:hAnsi="Times New Roman" w:eastAsia="Times New Roman" w:cs="Times New Roman"/>
      <w:sz w:val="20"/>
      <w:szCs w:val="20"/>
    </w:rPr>
  </w:style>
  <w:style w:type="paragraph" w:styleId="Xl75" w:customStyle="1">
    <w:name w:val="xl75"/>
    <w:basedOn w:val="Normal"/>
    <w:qFormat/>
    <w:rsid w:val="0063601c"/>
    <w:pPr>
      <w:spacing w:lineRule="auto" w:line="240" w:beforeAutospacing="1" w:afterAutospacing="1"/>
      <w:ind w:hanging="0"/>
      <w:jc w:val="center"/>
    </w:pPr>
    <w:rPr>
      <w:rFonts w:ascii="Times New Roman" w:hAnsi="Times New Roman" w:eastAsia="Times New Roman" w:cs="Times New Roman"/>
      <w:sz w:val="20"/>
      <w:szCs w:val="20"/>
    </w:rPr>
  </w:style>
  <w:style w:type="paragraph" w:styleId="Xl76" w:customStyle="1">
    <w:name w:val="xl76"/>
    <w:basedOn w:val="Normal"/>
    <w:qFormat/>
    <w:rsid w:val="0063601c"/>
    <w:pPr>
      <w:spacing w:lineRule="auto" w:line="240" w:beforeAutospacing="1" w:afterAutospacing="1"/>
      <w:ind w:hanging="0"/>
      <w:jc w:val="right"/>
    </w:pPr>
    <w:rPr>
      <w:rFonts w:ascii="Times New Roman" w:hAnsi="Times New Roman" w:eastAsia="Times New Roman" w:cs="Times New Roman"/>
      <w:b/>
      <w:bCs/>
      <w:sz w:val="20"/>
      <w:szCs w:val="20"/>
    </w:rPr>
  </w:style>
  <w:style w:type="paragraph" w:styleId="Xl77" w:customStyle="1">
    <w:name w:val="xl77"/>
    <w:basedOn w:val="Normal"/>
    <w:qFormat/>
    <w:rsid w:val="0063601c"/>
    <w:pPr>
      <w:shd w:val="clear" w:color="000000" w:fill="FFFF00"/>
      <w:spacing w:lineRule="auto" w:line="240" w:beforeAutospacing="1" w:afterAutospacing="1"/>
      <w:ind w:hanging="0"/>
      <w:jc w:val="center"/>
    </w:pPr>
    <w:rPr>
      <w:rFonts w:ascii="Times New Roman" w:hAnsi="Times New Roman" w:eastAsia="Times New Roman" w:cs="Times New Roman"/>
      <w:sz w:val="20"/>
      <w:szCs w:val="20"/>
    </w:rPr>
  </w:style>
  <w:style w:type="paragraph" w:styleId="Xl78" w:customStyle="1">
    <w:name w:val="xl78"/>
    <w:basedOn w:val="Normal"/>
    <w:qFormat/>
    <w:rsid w:val="0063601c"/>
    <w:pPr>
      <w:spacing w:lineRule="auto" w:line="240" w:beforeAutospacing="1" w:afterAutospacing="1"/>
      <w:ind w:hanging="0"/>
      <w:jc w:val="center"/>
    </w:pPr>
    <w:rPr>
      <w:rFonts w:ascii="Times New Roman" w:hAnsi="Times New Roman" w:eastAsia="Times New Roman" w:cs="Times New Roman"/>
      <w:b/>
      <w:bCs/>
      <w:sz w:val="20"/>
      <w:szCs w:val="20"/>
    </w:rPr>
  </w:style>
  <w:style w:type="paragraph" w:styleId="Xl79" w:customStyle="1">
    <w:name w:val="xl79"/>
    <w:basedOn w:val="Normal"/>
    <w:qFormat/>
    <w:rsid w:val="0063601c"/>
    <w:pPr>
      <w:spacing w:lineRule="auto" w:line="240" w:beforeAutospacing="1" w:afterAutospacing="1"/>
      <w:ind w:hanging="0"/>
      <w:jc w:val="left"/>
    </w:pPr>
    <w:rPr>
      <w:rFonts w:ascii="Times New Roman" w:hAnsi="Times New Roman" w:eastAsia="Times New Roman" w:cs="Times New Roman"/>
      <w:b/>
      <w:bCs/>
      <w:sz w:val="20"/>
      <w:szCs w:val="20"/>
    </w:rPr>
  </w:style>
  <w:style w:type="paragraph" w:styleId="Xl80" w:customStyle="1">
    <w:name w:val="xl80"/>
    <w:basedOn w:val="Normal"/>
    <w:qFormat/>
    <w:rsid w:val="0063601c"/>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ind w:hanging="0"/>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63601c"/>
    <w:pPr>
      <w:pBdr>
        <w:top w:val="single" w:sz="4" w:space="0" w:color="000000"/>
        <w:left w:val="single" w:sz="4" w:space="0" w:color="000000"/>
        <w:bottom w:val="single" w:sz="4" w:space="0" w:color="000000"/>
        <w:right w:val="single" w:sz="4" w:space="0" w:color="000000"/>
      </w:pBdr>
      <w:spacing w:lineRule="auto" w:line="240" w:beforeAutospacing="1" w:afterAutospacing="1"/>
      <w:ind w:hanging="0"/>
      <w:jc w:val="left"/>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63601c"/>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ind w:hanging="0"/>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63601c"/>
    <w:pPr>
      <w:spacing w:lineRule="auto" w:line="240" w:before="280" w:after="280"/>
      <w:ind w:hanging="0"/>
      <w:jc w:val="left"/>
    </w:pPr>
    <w:rPr>
      <w:rFonts w:ascii="Times New Roman" w:hAnsi="Times New Roman" w:eastAsia="Times New Roman" w:cs="Calibri"/>
      <w:sz w:val="24"/>
      <w:szCs w:val="24"/>
      <w:lang w:eastAsia="ar-SA"/>
    </w:rPr>
  </w:style>
  <w:style w:type="paragraph" w:styleId="Lentelsantrat" w:customStyle="1">
    <w:name w:val="Lentelės antraštė"/>
    <w:basedOn w:val="Lentelsturinys"/>
    <w:qFormat/>
    <w:rsid w:val="0063601c"/>
    <w:pPr>
      <w:jc w:val="center"/>
    </w:pPr>
    <w:rPr>
      <w:b/>
      <w:bCs/>
    </w:rPr>
  </w:style>
  <w:style w:type="paragraph" w:styleId="Footnote" w:customStyle="1">
    <w:name w:val="Footnote"/>
    <w:basedOn w:val="Standard"/>
    <w:qFormat/>
    <w:rsid w:val="0063601c"/>
    <w:pPr/>
    <w:rPr>
      <w:sz w:val="20"/>
      <w:szCs w:val="20"/>
    </w:rPr>
  </w:style>
  <w:style w:type="paragraph" w:styleId="ListNumber">
    <w:name w:val="List Number"/>
    <w:basedOn w:val="Normal"/>
    <w:rsid w:val="00e75475"/>
    <w:pPr>
      <w:numPr>
        <w:ilvl w:val="0"/>
        <w:numId w:val="3"/>
      </w:numPr>
      <w:suppressAutoHyphens w:val="false"/>
      <w:spacing w:lineRule="auto" w:line="240" w:before="60" w:after="60"/>
    </w:pPr>
    <w:rPr>
      <w:rFonts w:ascii="Times New Roman" w:hAnsi="Times New Roman" w:eastAsia="Times New Roman" w:cs="Times New Roman"/>
      <w:sz w:val="24"/>
      <w:szCs w:val="24"/>
      <w:lang w:eastAsia="en-US"/>
    </w:rPr>
  </w:style>
  <w:style w:type="paragraph" w:styleId="ListNumber2">
    <w:name w:val="List Number 2"/>
    <w:basedOn w:val="Normal"/>
    <w:rsid w:val="00e75475"/>
    <w:pPr>
      <w:numPr>
        <w:ilvl w:val="1"/>
        <w:numId w:val="3"/>
      </w:numPr>
      <w:suppressAutoHyphens w:val="false"/>
      <w:spacing w:lineRule="auto" w:line="240"/>
    </w:pPr>
    <w:rPr>
      <w:rFonts w:ascii="Times New Roman" w:hAnsi="Times New Roman" w:eastAsia="Times New Roman" w:cs="Times New Roman"/>
      <w:sz w:val="24"/>
      <w:szCs w:val="24"/>
      <w:lang w:eastAsia="en-US"/>
    </w:rPr>
  </w:style>
  <w:style w:type="paragraph" w:styleId="ListNumber3">
    <w:name w:val="List Number 3"/>
    <w:basedOn w:val="Normal"/>
    <w:rsid w:val="00e75475"/>
    <w:pPr>
      <w:numPr>
        <w:ilvl w:val="2"/>
        <w:numId w:val="3"/>
      </w:numPr>
      <w:suppressAutoHyphens w:val="false"/>
      <w:spacing w:lineRule="auto" w:line="240"/>
    </w:pPr>
    <w:rPr>
      <w:rFonts w:ascii="Times New Roman" w:hAnsi="Times New Roman" w:eastAsia="Times New Roman" w:cs="Times New Roman"/>
      <w:sz w:val="24"/>
      <w:szCs w:val="24"/>
      <w:lang w:val="en-GB" w:eastAsia="en-US"/>
    </w:rPr>
  </w:style>
  <w:style w:type="paragraph" w:styleId="ListNumber4">
    <w:name w:val="List Number 4"/>
    <w:basedOn w:val="Normal"/>
    <w:rsid w:val="00e75475"/>
    <w:pPr>
      <w:numPr>
        <w:ilvl w:val="3"/>
        <w:numId w:val="3"/>
      </w:numPr>
      <w:suppressAutoHyphens w:val="false"/>
      <w:spacing w:lineRule="auto" w:line="240"/>
    </w:pPr>
    <w:rPr>
      <w:rFonts w:ascii="Times New Roman" w:hAnsi="Times New Roman" w:eastAsia="Times New Roman" w:cs="Times New Roman"/>
      <w:sz w:val="24"/>
      <w:szCs w:val="20"/>
      <w:lang w:eastAsia="en-US"/>
    </w:rPr>
  </w:style>
  <w:style w:type="paragraph" w:styleId="ListNumber5">
    <w:name w:val="List Number 5"/>
    <w:basedOn w:val="Normal"/>
    <w:rsid w:val="00e75475"/>
    <w:pPr>
      <w:numPr>
        <w:ilvl w:val="4"/>
        <w:numId w:val="3"/>
      </w:numPr>
      <w:suppressAutoHyphens w:val="false"/>
      <w:spacing w:lineRule="auto" w:line="240"/>
    </w:pPr>
    <w:rPr>
      <w:rFonts w:ascii="Times New Roman" w:hAnsi="Times New Roman" w:eastAsia="Times New Roman" w:cs="Times New Roman"/>
      <w:sz w:val="24"/>
      <w:szCs w:val="20"/>
      <w:lang w:eastAsia="en-US"/>
    </w:rPr>
  </w:style>
  <w:style w:type="paragraph" w:styleId="ListNumber6" w:customStyle="1">
    <w:name w:val="List Number 6"/>
    <w:basedOn w:val="Normal"/>
    <w:qFormat/>
    <w:rsid w:val="00e75475"/>
    <w:pPr>
      <w:numPr>
        <w:ilvl w:val="5"/>
        <w:numId w:val="3"/>
      </w:numPr>
      <w:suppressAutoHyphens w:val="false"/>
      <w:spacing w:lineRule="auto" w:line="240"/>
    </w:pPr>
    <w:rPr>
      <w:rFonts w:ascii="Times New Roman" w:hAnsi="Times New Roman" w:eastAsia="Times New Roman" w:cs="Times New Roman"/>
      <w:sz w:val="24"/>
      <w:szCs w:val="24"/>
      <w:lang w:eastAsia="en-US"/>
    </w:rPr>
  </w:style>
  <w:style w:type="paragraph" w:styleId="ListNumber2FirstLine" w:customStyle="1">
    <w:name w:val="List Number 2 First Line"/>
    <w:basedOn w:val="ListNumber2"/>
    <w:qFormat/>
    <w:rsid w:val="00e75475"/>
    <w:pPr>
      <w:ind w:firstLine="397" w:left="0"/>
    </w:pPr>
    <w:rPr>
      <w:lang w:val="en-US"/>
    </w:rPr>
  </w:style>
  <w:style w:type="paragraph" w:styleId="ListNumber3FirstLine" w:customStyle="1">
    <w:name w:val="List Number 3 First Line"/>
    <w:basedOn w:val="ListNumber3"/>
    <w:qFormat/>
    <w:rsid w:val="00e75475"/>
    <w:pPr/>
    <w:rPr>
      <w:lang w:val="lt-LT"/>
    </w:rPr>
  </w:style>
  <w:style w:type="paragraph" w:styleId="BodyText2">
    <w:name w:val="Body Text 2"/>
    <w:basedOn w:val="Normal"/>
    <w:link w:val="Pagrindinistekstas2Diagrama"/>
    <w:uiPriority w:val="99"/>
    <w:semiHidden/>
    <w:unhideWhenUsed/>
    <w:qFormat/>
    <w:rsid w:val="00111f8f"/>
    <w:pPr>
      <w:spacing w:lineRule="auto" w:line="480" w:before="0" w:after="120"/>
    </w:pPr>
    <w:rPr/>
  </w:style>
  <w:style w:type="paragraph" w:styleId="BodyText3">
    <w:name w:val="Body Text 3"/>
    <w:basedOn w:val="Normal"/>
    <w:link w:val="Pagrindinistekstas3Diagrama"/>
    <w:uiPriority w:val="99"/>
    <w:semiHidden/>
    <w:unhideWhenUsed/>
    <w:qFormat/>
    <w:rsid w:val="00111f8f"/>
    <w:pPr>
      <w:spacing w:before="0" w:after="120"/>
    </w:pPr>
    <w:rPr>
      <w:sz w:val="16"/>
      <w:szCs w:val="16"/>
    </w:rPr>
  </w:style>
  <w:style w:type="paragraph" w:styleId="HTMLiankstoformatuotas1" w:customStyle="1">
    <w:name w:val="HTML iš anksto formatuotas1"/>
    <w:basedOn w:val="Normal"/>
    <w:next w:val="HTMLPreformatted"/>
    <w:uiPriority w:val="99"/>
    <w:semiHidden/>
    <w:unhideWhenUsed/>
    <w:qFormat/>
    <w:rsid w:val="00c81de6"/>
    <w:pPr>
      <w:spacing w:lineRule="auto" w:line="240"/>
      <w:ind w:hanging="0"/>
      <w:jc w:val="left"/>
    </w:pPr>
    <w:rPr>
      <w:rFonts w:ascii="Consolas" w:hAnsi="Consolas" w:eastAsia="Aptos"/>
      <w:kern w:val="2"/>
      <w:sz w:val="20"/>
      <w:szCs w:val="20"/>
      <w:lang w:val="en-US" w:eastAsia="en-US"/>
    </w:rPr>
  </w:style>
  <w:style w:type="paragraph" w:styleId="HTMLPreformatted">
    <w:name w:val="HTML Preformatted"/>
    <w:basedOn w:val="Normal"/>
    <w:link w:val="HTMLiankstoformatuotasDiagrama"/>
    <w:uiPriority w:val="99"/>
    <w:semiHidden/>
    <w:unhideWhenUsed/>
    <w:qFormat/>
    <w:rsid w:val="00c81de6"/>
    <w:pPr>
      <w:spacing w:lineRule="auto" w:line="240"/>
    </w:pPr>
    <w:rPr>
      <w:rFonts w:ascii="Consolas" w:hAnsi="Consolas"/>
      <w:sz w:val="20"/>
      <w:szCs w:val="20"/>
    </w:rPr>
  </w:style>
  <w:style w:type="numbering" w:styleId="NoList" w:default="1">
    <w:name w:val="No List"/>
    <w:uiPriority w:val="99"/>
    <w:semiHidden/>
    <w:unhideWhenUsed/>
    <w:qFormat/>
  </w:style>
  <w:style w:type="numbering" w:styleId="List51" w:customStyle="1">
    <w:name w:val="List 51"/>
    <w:qFormat/>
    <w:rsid w:val="00197943"/>
  </w:style>
  <w:style w:type="numbering" w:styleId="CurrentList1" w:customStyle="1">
    <w:name w:val="Current List1"/>
    <w:uiPriority w:val="99"/>
    <w:qFormat/>
    <w:rsid w:val="00745317"/>
  </w:style>
  <w:style w:type="numbering" w:styleId="Style11" w:customStyle="1">
    <w:name w:val="Style1"/>
    <w:uiPriority w:val="99"/>
    <w:qFormat/>
    <w:rsid w:val="00577a7e"/>
  </w:style>
  <w:style w:type="numbering" w:styleId="Sraonra1" w:customStyle="1">
    <w:name w:val="Sąrašo nėra1"/>
    <w:semiHidden/>
    <w:unhideWhenUsed/>
    <w:qFormat/>
    <w:rsid w:val="0063601c"/>
  </w:style>
  <w:style w:type="numbering" w:styleId="Sraonra2" w:customStyle="1">
    <w:name w:val="Sąrašo nėra2"/>
    <w:uiPriority w:val="99"/>
    <w:semiHidden/>
    <w:unhideWhenUsed/>
    <w:qFormat/>
    <w:rsid w:val="00c81de6"/>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112f92"/>
    <w:rPr>
      <w:lang w:eastAsia="en-US"/>
      <w:sz w:val="20"/>
      <w:szCs w:val="20"/>
    </w:rPr>
    <w:tblPr>
      <w:tblStyleRowBandSize w:val="1"/>
      <w:tblStyleColBandSize w:val="1"/>
    </w:tblPr>
  </w:style>
  <w:style w:type="table" w:customStyle="1" w:styleId="2">
    <w:name w:val="2"/>
    <w:basedOn w:val="prastojilentel"/>
    <w:rsid w:val="00112f92"/>
    <w:rPr>
      <w:lang w:eastAsia="en-US"/>
      <w:sz w:val="20"/>
      <w:szCs w:val="20"/>
    </w:rPr>
    <w:tblPr>
      <w:tblStyleRowBandSize w:val="1"/>
      <w:tblStyleColBandSize w:val="1"/>
      <w:tblCellMar>
        <w:left w:w="115" w:type="dxa"/>
        <w:right w:w="115" w:type="dxa"/>
      </w:tblCellMar>
    </w:tblPr>
  </w:style>
  <w:style w:type="table" w:customStyle="1" w:styleId="1">
    <w:name w:val="1"/>
    <w:basedOn w:val="prastojilentel"/>
    <w:rsid w:val="00112f92"/>
    <w:rPr>
      <w:lang w:eastAsia="en-US"/>
      <w:sz w:val="20"/>
      <w:szCs w:val="20"/>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c72ad9"/>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63601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63601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63601c"/>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4">
    <w:name w:val="Lentelės tinklelis4"/>
    <w:basedOn w:val="prastojilentel"/>
    <w:uiPriority w:val="39"/>
    <w:rsid w:val="00846850"/>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inistracija@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CAF6BB2D-D3CC-4ED4-BA05-65B5F83A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4430</TotalTime>
  <Application>LibreOffice/24.2.0.3$Windows_X86_64 LibreOffice_project/da48488a73ddd66ea24cf16bbc4f7b9c08e9bea1</Application>
  <AppVersion>15.0000</AppVersion>
  <Pages>18</Pages>
  <Words>3655</Words>
  <Characters>26336</Characters>
  <CharactersWithSpaces>29788</CharactersWithSpaces>
  <Paragraphs>263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2024-03-04T14:43:00Z</dcterms:created>
  <dc:creator>Arūnė Andrulionienė</dc:creator>
  <dc:description/>
  <dc:language>lt-LT</dc:language>
  <cp:lastModifiedBy/>
  <cp:lastPrinted>2021-11-02T20:49:00Z</cp:lastPrinted>
  <dcterms:modified xsi:type="dcterms:W3CDTF">2026-08-20T11:06:49Z</dcterms:modified>
  <cp:revision>452</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